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88678" w14:textId="70EFCE45" w:rsidR="00821917" w:rsidRPr="008E6FD8" w:rsidRDefault="00821917" w:rsidP="00821917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8E6FD8">
        <w:rPr>
          <w:rFonts w:ascii="Arial" w:hAnsi="Arial" w:cs="Arial"/>
          <w:b/>
          <w:sz w:val="24"/>
          <w:szCs w:val="24"/>
          <w:lang w:val="en-GB"/>
        </w:rPr>
        <w:t>3GPP TSG-RAN WG4 Meeting #</w:t>
      </w:r>
      <w:r w:rsidRPr="008E6FD8">
        <w:rPr>
          <w:lang w:val="en-GB"/>
        </w:rPr>
        <w:t xml:space="preserve"> </w:t>
      </w:r>
      <w:r w:rsidRPr="008E6FD8">
        <w:rPr>
          <w:rFonts w:ascii="Arial" w:hAnsi="Arial" w:cs="Arial"/>
          <w:b/>
          <w:sz w:val="24"/>
          <w:szCs w:val="24"/>
          <w:lang w:val="en-GB"/>
        </w:rPr>
        <w:t>9</w:t>
      </w:r>
      <w:r>
        <w:rPr>
          <w:rFonts w:ascii="Arial" w:hAnsi="Arial" w:cs="Arial"/>
          <w:b/>
          <w:sz w:val="24"/>
          <w:szCs w:val="24"/>
          <w:lang w:val="en-GB"/>
        </w:rPr>
        <w:t>9</w:t>
      </w:r>
      <w:r w:rsidRPr="008E6FD8">
        <w:rPr>
          <w:rFonts w:ascii="Arial" w:hAnsi="Arial" w:cs="Arial"/>
          <w:b/>
          <w:sz w:val="24"/>
          <w:szCs w:val="24"/>
          <w:lang w:val="en-GB"/>
        </w:rPr>
        <w:t xml:space="preserve">-e </w:t>
      </w:r>
      <w:r w:rsidRPr="008E6FD8">
        <w:rPr>
          <w:rFonts w:ascii="Arial" w:hAnsi="Arial" w:cs="Arial"/>
          <w:b/>
          <w:sz w:val="24"/>
          <w:szCs w:val="24"/>
          <w:lang w:val="en-GB"/>
        </w:rPr>
        <w:tab/>
      </w:r>
      <w:r>
        <w:rPr>
          <w:rFonts w:ascii="Arial" w:hAnsi="Arial" w:cs="Arial"/>
          <w:b/>
          <w:sz w:val="24"/>
          <w:szCs w:val="24"/>
          <w:lang w:val="en-GB"/>
        </w:rPr>
        <w:tab/>
      </w:r>
      <w:r w:rsidRPr="008E6FD8">
        <w:rPr>
          <w:rFonts w:ascii="Arial" w:hAnsi="Arial" w:cs="Arial"/>
          <w:b/>
          <w:sz w:val="24"/>
          <w:szCs w:val="24"/>
          <w:lang w:val="en-GB"/>
        </w:rPr>
        <w:t>R4-21</w:t>
      </w:r>
      <w:r w:rsidR="00F30010">
        <w:rPr>
          <w:rFonts w:ascii="Arial" w:hAnsi="Arial" w:cs="Arial"/>
          <w:b/>
          <w:sz w:val="24"/>
          <w:szCs w:val="24"/>
          <w:lang w:val="en-GB"/>
        </w:rPr>
        <w:t>10271</w:t>
      </w:r>
    </w:p>
    <w:p w14:paraId="0C8B8921" w14:textId="77777777" w:rsidR="00821917" w:rsidRPr="008E6FD8" w:rsidRDefault="00821917" w:rsidP="00821917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May</w:t>
      </w: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19</w:t>
      </w: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>-2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7</w:t>
      </w: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>, 2021</w:t>
      </w:r>
    </w:p>
    <w:p w14:paraId="0BCA9DF1" w14:textId="00E96DB1" w:rsidR="00841BCD" w:rsidRPr="0082191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719E796" w14:textId="5DA813A3" w:rsidR="00841BCD" w:rsidRPr="00A85F40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A85F40">
        <w:rPr>
          <w:rFonts w:ascii="Arial" w:eastAsia="Calibri" w:hAnsi="Arial" w:cs="Arial"/>
          <w:b/>
          <w:bCs/>
          <w:sz w:val="24"/>
        </w:rPr>
        <w:t>Source:</w:t>
      </w:r>
      <w:r w:rsidRPr="00A85F40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A85F40">
        <w:rPr>
          <w:rFonts w:ascii="Arial" w:eastAsia="Calibri" w:hAnsi="Arial" w:cs="Arial"/>
          <w:b/>
          <w:bCs/>
          <w:sz w:val="24"/>
        </w:rPr>
        <w:t>Nokia</w:t>
      </w:r>
      <w:r w:rsidRPr="00A85F40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D66FCD" w14:textId="4425AD0F" w:rsidR="00841BCD" w:rsidRPr="00A85F4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A85F40">
        <w:rPr>
          <w:rFonts w:ascii="Arial" w:eastAsia="Calibri" w:hAnsi="Arial" w:cs="Arial"/>
          <w:b/>
          <w:bCs/>
          <w:sz w:val="24"/>
        </w:rPr>
        <w:t>Title:</w:t>
      </w:r>
      <w:r w:rsidRPr="00A85F40">
        <w:rPr>
          <w:rFonts w:ascii="Arial" w:eastAsia="Calibri" w:hAnsi="Arial" w:cs="Arial"/>
          <w:b/>
          <w:bCs/>
          <w:sz w:val="24"/>
        </w:rPr>
        <w:tab/>
      </w:r>
      <w:r w:rsidR="00C61A58" w:rsidRPr="00A85F40">
        <w:rPr>
          <w:rFonts w:ascii="Arial" w:eastAsia="Calibri" w:hAnsi="Arial" w:cs="Arial"/>
          <w:b/>
          <w:bCs/>
          <w:sz w:val="24"/>
        </w:rPr>
        <w:t>General aspects</w:t>
      </w:r>
      <w:r w:rsidR="00BF29F3" w:rsidRPr="00A85F40">
        <w:rPr>
          <w:rFonts w:ascii="Arial" w:eastAsia="Calibri" w:hAnsi="Arial" w:cs="Arial"/>
          <w:b/>
          <w:bCs/>
          <w:sz w:val="24"/>
        </w:rPr>
        <w:t xml:space="preserve"> </w:t>
      </w:r>
      <w:r w:rsidR="005D28EE" w:rsidRPr="00A85F40">
        <w:rPr>
          <w:rFonts w:ascii="Arial" w:eastAsia="Calibri" w:hAnsi="Arial" w:cs="Arial"/>
          <w:b/>
          <w:bCs/>
          <w:sz w:val="24"/>
        </w:rPr>
        <w:t xml:space="preserve">for </w:t>
      </w:r>
      <w:r w:rsidR="003E00B9" w:rsidRPr="00A85F40">
        <w:rPr>
          <w:rFonts w:ascii="Arial" w:eastAsia="Calibri" w:hAnsi="Arial" w:cs="Arial"/>
          <w:b/>
          <w:bCs/>
          <w:sz w:val="24"/>
        </w:rPr>
        <w:t>gNB measurement</w:t>
      </w:r>
      <w:r w:rsidR="00B25D36" w:rsidRPr="00A85F40">
        <w:rPr>
          <w:rFonts w:ascii="Arial" w:eastAsia="Calibri" w:hAnsi="Arial" w:cs="Arial"/>
          <w:b/>
          <w:bCs/>
          <w:sz w:val="24"/>
        </w:rPr>
        <w:t xml:space="preserve"> </w:t>
      </w:r>
      <w:r w:rsidR="003325D7" w:rsidRPr="00A85F40">
        <w:rPr>
          <w:rFonts w:ascii="Arial" w:eastAsia="Calibri" w:hAnsi="Arial" w:cs="Arial"/>
          <w:b/>
          <w:bCs/>
          <w:sz w:val="24"/>
        </w:rPr>
        <w:t>accuracy</w:t>
      </w:r>
      <w:r w:rsidR="00B81135" w:rsidRPr="00A85F40">
        <w:rPr>
          <w:rFonts w:ascii="Arial" w:eastAsia="Calibri" w:hAnsi="Arial" w:cs="Arial"/>
          <w:b/>
          <w:bCs/>
          <w:sz w:val="24"/>
        </w:rPr>
        <w:t xml:space="preserve"> </w:t>
      </w:r>
      <w:r w:rsidR="00B25D36" w:rsidRPr="00A85F40">
        <w:rPr>
          <w:rFonts w:ascii="Arial" w:eastAsia="Calibri" w:hAnsi="Arial" w:cs="Arial"/>
          <w:b/>
          <w:bCs/>
          <w:sz w:val="24"/>
        </w:rPr>
        <w:t xml:space="preserve">requirements </w:t>
      </w:r>
    </w:p>
    <w:p w14:paraId="388BE204" w14:textId="0D132CD2" w:rsidR="00841BCD" w:rsidRPr="00A85F4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A85F4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A85F40">
        <w:rPr>
          <w:rFonts w:ascii="Arial" w:eastAsia="MS Mincho" w:hAnsi="Arial" w:cs="Arial"/>
          <w:b/>
          <w:bCs/>
          <w:sz w:val="24"/>
          <w:szCs w:val="20"/>
        </w:rPr>
        <w:tab/>
      </w:r>
      <w:r w:rsidR="00821917">
        <w:rPr>
          <w:rFonts w:ascii="Arial" w:eastAsia="MS Mincho" w:hAnsi="Arial" w:cs="Arial"/>
          <w:b/>
          <w:bCs/>
          <w:sz w:val="24"/>
          <w:szCs w:val="20"/>
        </w:rPr>
        <w:t>6</w:t>
      </w:r>
      <w:r w:rsidR="00D841B3" w:rsidRPr="00A85F40">
        <w:rPr>
          <w:rFonts w:ascii="Arial" w:eastAsia="MS Mincho" w:hAnsi="Arial" w:cs="Arial"/>
          <w:b/>
          <w:bCs/>
          <w:sz w:val="24"/>
          <w:szCs w:val="20"/>
        </w:rPr>
        <w:t>.</w:t>
      </w:r>
      <w:r w:rsidR="00C61A58" w:rsidRPr="00A85F40">
        <w:rPr>
          <w:rFonts w:ascii="Arial" w:eastAsia="MS Mincho" w:hAnsi="Arial" w:cs="Arial"/>
          <w:b/>
          <w:bCs/>
          <w:sz w:val="24"/>
          <w:szCs w:val="20"/>
        </w:rPr>
        <w:t>5</w:t>
      </w:r>
      <w:r w:rsidR="007657EE" w:rsidRPr="00A85F40">
        <w:rPr>
          <w:rFonts w:ascii="Arial" w:eastAsia="MS Mincho" w:hAnsi="Arial" w:cs="Arial"/>
          <w:b/>
          <w:bCs/>
          <w:sz w:val="24"/>
          <w:szCs w:val="20"/>
        </w:rPr>
        <w:t>.</w:t>
      </w:r>
      <w:r w:rsidR="001E4950" w:rsidRPr="00A85F40">
        <w:rPr>
          <w:rFonts w:ascii="Arial" w:eastAsia="MS Mincho" w:hAnsi="Arial" w:cs="Arial"/>
          <w:b/>
          <w:bCs/>
          <w:sz w:val="24"/>
          <w:szCs w:val="20"/>
        </w:rPr>
        <w:t>2.</w:t>
      </w:r>
      <w:r w:rsidR="00C34356" w:rsidRPr="00A85F40">
        <w:rPr>
          <w:rFonts w:ascii="Arial" w:eastAsia="MS Mincho" w:hAnsi="Arial" w:cs="Arial"/>
          <w:b/>
          <w:bCs/>
          <w:sz w:val="24"/>
          <w:szCs w:val="20"/>
        </w:rPr>
        <w:t>3</w:t>
      </w:r>
      <w:r w:rsidR="007657EE" w:rsidRPr="00A85F40">
        <w:rPr>
          <w:rFonts w:ascii="Arial" w:eastAsia="MS Mincho" w:hAnsi="Arial" w:cs="Arial"/>
          <w:b/>
          <w:bCs/>
          <w:sz w:val="24"/>
          <w:szCs w:val="20"/>
        </w:rPr>
        <w:t>.</w:t>
      </w:r>
      <w:r w:rsidR="001E4950" w:rsidRPr="00A85F40">
        <w:rPr>
          <w:rFonts w:ascii="Arial" w:eastAsia="MS Mincho" w:hAnsi="Arial" w:cs="Arial"/>
          <w:b/>
          <w:bCs/>
          <w:sz w:val="24"/>
          <w:szCs w:val="20"/>
        </w:rPr>
        <w:t>1</w:t>
      </w:r>
    </w:p>
    <w:p w14:paraId="696A856C" w14:textId="11D69231" w:rsidR="00841BCD" w:rsidRPr="00A85F40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85F40">
        <w:rPr>
          <w:rFonts w:ascii="Arial" w:eastAsia="Calibri" w:hAnsi="Arial" w:cs="Arial"/>
          <w:b/>
          <w:bCs/>
          <w:sz w:val="24"/>
        </w:rPr>
        <w:t>Document for:</w:t>
      </w:r>
      <w:r w:rsidRPr="00A85F40">
        <w:rPr>
          <w:rFonts w:ascii="Arial" w:eastAsia="Calibri" w:hAnsi="Arial" w:cs="Arial"/>
          <w:b/>
          <w:bCs/>
          <w:sz w:val="24"/>
        </w:rPr>
        <w:tab/>
      </w:r>
      <w:r w:rsidR="007657EE" w:rsidRPr="00A85F40">
        <w:rPr>
          <w:rFonts w:ascii="Arial" w:eastAsia="Calibri" w:hAnsi="Arial" w:cs="Arial"/>
          <w:b/>
          <w:bCs/>
          <w:sz w:val="24"/>
        </w:rPr>
        <w:t>Discussion</w:t>
      </w:r>
    </w:p>
    <w:p w14:paraId="368D7580" w14:textId="77777777" w:rsidR="00841BCD" w:rsidRPr="00A85F40" w:rsidRDefault="00841BCD" w:rsidP="00A37002">
      <w:pPr>
        <w:pStyle w:val="RAN4H1"/>
        <w:rPr>
          <w:lang w:val="en-US"/>
        </w:rPr>
      </w:pPr>
      <w:r w:rsidRPr="00A85F40">
        <w:rPr>
          <w:lang w:val="en-US"/>
        </w:rPr>
        <w:t>Intro</w:t>
      </w:r>
      <w:r w:rsidRPr="00A85F40">
        <w:rPr>
          <w:rStyle w:val="RAN4H1Char"/>
          <w:lang w:val="en-US"/>
        </w:rPr>
        <w:t>ductio</w:t>
      </w:r>
      <w:r w:rsidRPr="00A85F40">
        <w:rPr>
          <w:lang w:val="en-US"/>
        </w:rPr>
        <w:t>n</w:t>
      </w:r>
    </w:p>
    <w:p w14:paraId="6BE16D3D" w14:textId="738D939B" w:rsidR="003E00B9" w:rsidRPr="00A85F40" w:rsidRDefault="00C61A58" w:rsidP="008B73E6">
      <w:pPr>
        <w:spacing w:after="120" w:line="240" w:lineRule="auto"/>
        <w:ind w:right="-23"/>
      </w:pPr>
      <w:r w:rsidRPr="00A85F40">
        <w:t>At RAN4 #98</w:t>
      </w:r>
      <w:r w:rsidR="00821917">
        <w:t>-bis-</w:t>
      </w:r>
      <w:r w:rsidRPr="00A85F40">
        <w:t>e, further discussion was carried out on how to specify gNB accuracy requirements for NR positioning in TS 38.133 and agreements were captured in the WF [1].</w:t>
      </w:r>
      <w:r w:rsidR="00480117" w:rsidRPr="00A85F40">
        <w:t xml:space="preserve"> </w:t>
      </w:r>
      <w:r w:rsidR="00480117" w:rsidRPr="00A85F40">
        <w:rPr>
          <w:color w:val="000000" w:themeColor="text1"/>
        </w:rPr>
        <w:t>Following agreement</w:t>
      </w:r>
      <w:r w:rsidR="00C34356" w:rsidRPr="00A85F40">
        <w:rPr>
          <w:color w:val="000000" w:themeColor="text1"/>
        </w:rPr>
        <w:t>s</w:t>
      </w:r>
      <w:r w:rsidR="00480117" w:rsidRPr="00A85F40">
        <w:rPr>
          <w:color w:val="000000" w:themeColor="text1"/>
        </w:rPr>
        <w:t xml:space="preserve"> </w:t>
      </w:r>
      <w:r w:rsidR="005D28EE" w:rsidRPr="00A85F40">
        <w:rPr>
          <w:color w:val="000000" w:themeColor="text1"/>
        </w:rPr>
        <w:t xml:space="preserve">on </w:t>
      </w:r>
      <w:r w:rsidRPr="00A85F40">
        <w:rPr>
          <w:color w:val="000000" w:themeColor="text1"/>
        </w:rPr>
        <w:t>general aspects</w:t>
      </w:r>
      <w:r w:rsidR="005D28EE" w:rsidRPr="00A85F40">
        <w:rPr>
          <w:color w:val="000000" w:themeColor="text1"/>
        </w:rPr>
        <w:t xml:space="preserve"> </w:t>
      </w:r>
      <w:r w:rsidR="00480117" w:rsidRPr="00A85F40">
        <w:rPr>
          <w:color w:val="000000" w:themeColor="text1"/>
        </w:rPr>
        <w:t>w</w:t>
      </w:r>
      <w:r w:rsidR="00C34356" w:rsidRPr="00A85F40">
        <w:rPr>
          <w:color w:val="000000" w:themeColor="text1"/>
        </w:rPr>
        <w:t>ere</w:t>
      </w:r>
      <w:r w:rsidR="00480117" w:rsidRPr="00A85F40">
        <w:rPr>
          <w:color w:val="000000" w:themeColor="text1"/>
        </w:rPr>
        <w:t xml:space="preserve"> achieved</w:t>
      </w:r>
      <w:r w:rsidR="005D28EE" w:rsidRPr="00A85F40">
        <w:rPr>
          <w:color w:val="000000" w:themeColor="text1"/>
        </w:rPr>
        <w:t xml:space="preserve"> </w:t>
      </w:r>
      <w:r w:rsidR="00E440AD" w:rsidRPr="00A85F40">
        <w:rPr>
          <w:color w:val="000000" w:themeColor="text1"/>
        </w:rPr>
        <w:t xml:space="preserve">and </w:t>
      </w:r>
      <w:r w:rsidR="003C134B" w:rsidRPr="00A85F40">
        <w:rPr>
          <w:color w:val="000000" w:themeColor="text1"/>
        </w:rPr>
        <w:t xml:space="preserve">following </w:t>
      </w:r>
      <w:r w:rsidR="003C134B" w:rsidRPr="00A85F40">
        <w:rPr>
          <w:rFonts w:eastAsia="Calibri" w:cs="Times New Roman"/>
          <w:color w:val="000000" w:themeColor="text1"/>
          <w:szCs w:val="20"/>
        </w:rPr>
        <w:t xml:space="preserve">items for further study </w:t>
      </w:r>
      <w:r w:rsidR="00AC5F11" w:rsidRPr="00A85F40">
        <w:rPr>
          <w:rFonts w:eastAsia="Calibri" w:cs="Times New Roman"/>
          <w:color w:val="000000" w:themeColor="text1"/>
          <w:szCs w:val="20"/>
        </w:rPr>
        <w:t xml:space="preserve">were </w:t>
      </w:r>
      <w:r w:rsidR="003C134B" w:rsidRPr="00A85F40">
        <w:rPr>
          <w:rFonts w:eastAsia="Calibri" w:cs="Times New Roman"/>
          <w:color w:val="000000" w:themeColor="text1"/>
          <w:szCs w:val="20"/>
        </w:rPr>
        <w:t>identified.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7AF2" w:rsidRPr="00A85F40" w14:paraId="2602AE1C" w14:textId="77777777" w:rsidTr="00A438EA">
        <w:tc>
          <w:tcPr>
            <w:tcW w:w="9617" w:type="dxa"/>
          </w:tcPr>
          <w:p w14:paraId="36434430" w14:textId="215A4A14" w:rsidR="00835E17" w:rsidRPr="00A85F40" w:rsidRDefault="003E00B9" w:rsidP="00480117">
            <w:pPr>
              <w:spacing w:after="120"/>
              <w:rPr>
                <w:b/>
                <w:color w:val="000000" w:themeColor="text1"/>
                <w:u w:val="single"/>
                <w:lang w:eastAsia="zh-CN"/>
              </w:rPr>
            </w:pPr>
            <w:r w:rsidRPr="00A85F40">
              <w:rPr>
                <w:b/>
                <w:color w:val="000000" w:themeColor="text1"/>
                <w:u w:val="single"/>
                <w:lang w:eastAsia="zh-CN"/>
              </w:rPr>
              <w:t>Agreement</w:t>
            </w:r>
            <w:r w:rsidR="00C34356" w:rsidRPr="00A85F40">
              <w:rPr>
                <w:b/>
                <w:color w:val="000000" w:themeColor="text1"/>
                <w:u w:val="single"/>
                <w:lang w:eastAsia="zh-CN"/>
              </w:rPr>
              <w:t>s</w:t>
            </w:r>
          </w:p>
          <w:p w14:paraId="0043174E" w14:textId="23E7E296" w:rsidR="00926EAE" w:rsidRPr="00A85F40" w:rsidRDefault="00926EAE" w:rsidP="00926EAE">
            <w:pPr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A85F40">
              <w:rPr>
                <w:color w:val="000000" w:themeColor="text1"/>
                <w:u w:val="single"/>
                <w:lang w:eastAsia="zh-CN"/>
              </w:rPr>
              <w:t>Beam sweeping during gNB measurement</w:t>
            </w:r>
          </w:p>
          <w:p w14:paraId="20EE8B70" w14:textId="77777777" w:rsidR="00926EAE" w:rsidRPr="00A85F40" w:rsidRDefault="00926EAE" w:rsidP="00926EAE">
            <w:pPr>
              <w:numPr>
                <w:ilvl w:val="0"/>
                <w:numId w:val="16"/>
              </w:numPr>
              <w:tabs>
                <w:tab w:val="clear" w:pos="720"/>
              </w:tabs>
              <w:spacing w:after="120"/>
              <w:ind w:left="459" w:hanging="283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gNB accuracy requirements do not mandate gNB RX beam sweeping</w:t>
            </w:r>
          </w:p>
          <w:p w14:paraId="2388B580" w14:textId="5D738313" w:rsidR="00926EAE" w:rsidRPr="00A85F40" w:rsidRDefault="00A05393" w:rsidP="00926EAE">
            <w:pPr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A05393">
              <w:rPr>
                <w:color w:val="000000" w:themeColor="text1"/>
                <w:u w:val="single"/>
                <w:lang w:eastAsia="zh-CN"/>
              </w:rPr>
              <w:t>Samples for gNB accuracy requirements</w:t>
            </w:r>
          </w:p>
          <w:p w14:paraId="21DC51F5" w14:textId="318D9CDC" w:rsidR="00926EAE" w:rsidRDefault="00A05393" w:rsidP="00926EAE">
            <w:pPr>
              <w:numPr>
                <w:ilvl w:val="0"/>
                <w:numId w:val="16"/>
              </w:numPr>
              <w:tabs>
                <w:tab w:val="clear" w:pos="720"/>
              </w:tabs>
              <w:spacing w:after="120"/>
              <w:ind w:left="459" w:hanging="283"/>
              <w:rPr>
                <w:color w:val="000000" w:themeColor="text1"/>
                <w:lang w:eastAsia="zh-CN"/>
              </w:rPr>
            </w:pPr>
            <w:r w:rsidRPr="00A05393">
              <w:rPr>
                <w:color w:val="000000" w:themeColor="text1"/>
                <w:lang w:eastAsia="zh-CN"/>
              </w:rPr>
              <w:t>Default assumption is to define the gNB accuracy requirements based on single sample/shot measurement assumption</w:t>
            </w:r>
          </w:p>
          <w:p w14:paraId="20C76483" w14:textId="52BC52EB" w:rsidR="00A05393" w:rsidRPr="00A05393" w:rsidRDefault="00A05393" w:rsidP="00A05393">
            <w:pPr>
              <w:spacing w:after="120"/>
              <w:ind w:left="34"/>
              <w:rPr>
                <w:color w:val="000000" w:themeColor="text1"/>
                <w:u w:val="single"/>
                <w:lang w:eastAsia="zh-CN"/>
              </w:rPr>
            </w:pPr>
            <w:r w:rsidRPr="00A05393">
              <w:rPr>
                <w:color w:val="000000" w:themeColor="text1"/>
                <w:u w:val="single"/>
                <w:lang w:eastAsia="zh-CN"/>
              </w:rPr>
              <w:t>RoAoA side conditions for 1-O and 2-O gNB types</w:t>
            </w:r>
          </w:p>
          <w:p w14:paraId="3BC23F49" w14:textId="260F5978" w:rsidR="00BE3B93" w:rsidRPr="00A05393" w:rsidRDefault="00A05393" w:rsidP="00A0539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after="120"/>
              <w:ind w:left="459" w:hanging="283"/>
              <w:contextualSpacing w:val="0"/>
              <w:rPr>
                <w:color w:val="000000" w:themeColor="text1"/>
                <w:lang w:eastAsia="zh-CN"/>
              </w:rPr>
            </w:pPr>
            <w:r w:rsidRPr="00A05393">
              <w:rPr>
                <w:color w:val="000000" w:themeColor="text1"/>
                <w:lang w:eastAsia="zh-CN"/>
              </w:rPr>
              <w:t>“gNB positioning measurement requirements apply for the same RoAoA as OTA reference sensitivity requirements for 1-O and 2-O BS”.</w:t>
            </w:r>
          </w:p>
        </w:tc>
      </w:tr>
    </w:tbl>
    <w:p w14:paraId="0DD09FCA" w14:textId="5B1205E3" w:rsidR="00480117" w:rsidRPr="00A85F40" w:rsidRDefault="00480117" w:rsidP="003C134B">
      <w:pPr>
        <w:spacing w:after="0" w:line="240" w:lineRule="auto"/>
        <w:ind w:right="-23"/>
        <w:rPr>
          <w:rFonts w:eastAsia="Calibri" w:cs="Times New Roman"/>
          <w:color w:val="000000" w:themeColor="text1"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7AF2" w:rsidRPr="00A85F40" w14:paraId="004F5784" w14:textId="77777777" w:rsidTr="006265DB">
        <w:tc>
          <w:tcPr>
            <w:tcW w:w="9617" w:type="dxa"/>
          </w:tcPr>
          <w:p w14:paraId="0A3FBB09" w14:textId="1991D6F7" w:rsidR="00480117" w:rsidRPr="00A85F40" w:rsidRDefault="00480117" w:rsidP="00480117">
            <w:pPr>
              <w:spacing w:after="120"/>
              <w:rPr>
                <w:b/>
                <w:color w:val="000000" w:themeColor="text1"/>
                <w:u w:val="single"/>
                <w:lang w:eastAsia="zh-CN"/>
              </w:rPr>
            </w:pPr>
            <w:r w:rsidRPr="00A85F40">
              <w:rPr>
                <w:b/>
                <w:color w:val="000000" w:themeColor="text1"/>
                <w:u w:val="single"/>
                <w:lang w:eastAsia="zh-CN"/>
              </w:rPr>
              <w:t>Items for further study</w:t>
            </w:r>
          </w:p>
          <w:p w14:paraId="7327473A" w14:textId="77777777" w:rsidR="00926EAE" w:rsidRPr="00A85F40" w:rsidRDefault="008B73E6" w:rsidP="008B73E6">
            <w:pPr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A85F40">
              <w:rPr>
                <w:color w:val="000000" w:themeColor="text1"/>
                <w:u w:val="single"/>
                <w:lang w:eastAsia="zh-CN"/>
              </w:rPr>
              <w:t>Beam sweeping during gNB measurement</w:t>
            </w:r>
          </w:p>
          <w:p w14:paraId="44E46319" w14:textId="3F0072E3" w:rsidR="00926EAE" w:rsidRPr="00A85F40" w:rsidRDefault="008B73E6" w:rsidP="008B73E6">
            <w:pPr>
              <w:numPr>
                <w:ilvl w:val="0"/>
                <w:numId w:val="16"/>
              </w:numPr>
              <w:tabs>
                <w:tab w:val="clear" w:pos="720"/>
              </w:tabs>
              <w:spacing w:after="60"/>
              <w:ind w:left="459" w:hanging="283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Options for capturing above agreements</w:t>
            </w:r>
            <w:r w:rsidR="00A05393">
              <w:rPr>
                <w:color w:val="000000" w:themeColor="text1"/>
                <w:lang w:eastAsia="zh-CN"/>
              </w:rPr>
              <w:t xml:space="preserve"> in the specification</w:t>
            </w:r>
            <w:r w:rsidRPr="00A85F40">
              <w:rPr>
                <w:color w:val="000000" w:themeColor="text1"/>
                <w:lang w:eastAsia="zh-CN"/>
              </w:rPr>
              <w:t>:</w:t>
            </w:r>
          </w:p>
          <w:p w14:paraId="5ABA2F62" w14:textId="5FC40031" w:rsidR="008B73E6" w:rsidRPr="00A85F40" w:rsidRDefault="008B73E6" w:rsidP="008B73E6">
            <w:pPr>
              <w:numPr>
                <w:ilvl w:val="1"/>
                <w:numId w:val="16"/>
              </w:numPr>
              <w:tabs>
                <w:tab w:val="clear" w:pos="1440"/>
              </w:tabs>
              <w:spacing w:after="60"/>
              <w:ind w:left="743" w:hanging="284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Option 1: gNB accuracy requirements do not mandate gNB RX beam sweeping is captured only in the WF.</w:t>
            </w:r>
          </w:p>
          <w:p w14:paraId="4CEE9541" w14:textId="2516FA56" w:rsidR="00926EAE" w:rsidRPr="00A05393" w:rsidRDefault="008B73E6" w:rsidP="00A05393">
            <w:pPr>
              <w:numPr>
                <w:ilvl w:val="1"/>
                <w:numId w:val="16"/>
              </w:numPr>
              <w:tabs>
                <w:tab w:val="clear" w:pos="1440"/>
              </w:tabs>
              <w:spacing w:after="60"/>
              <w:ind w:left="743" w:hanging="284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Option 2: gNB accuracy requirements do not mandate gNB RX beam sweeping is included in the accuracy side conditions.</w:t>
            </w:r>
          </w:p>
          <w:p w14:paraId="76CBB271" w14:textId="2F90ED44" w:rsidR="00926EAE" w:rsidRPr="00A85F40" w:rsidRDefault="00A05393" w:rsidP="008B73E6">
            <w:pPr>
              <w:spacing w:after="60"/>
              <w:rPr>
                <w:color w:val="000000" w:themeColor="text1"/>
                <w:u w:val="single"/>
                <w:lang w:eastAsia="zh-CN"/>
              </w:rPr>
            </w:pPr>
            <w:r w:rsidRPr="00A85F40">
              <w:rPr>
                <w:color w:val="000000" w:themeColor="text1"/>
                <w:u w:val="single"/>
                <w:lang w:eastAsia="zh-CN"/>
              </w:rPr>
              <w:t xml:space="preserve">Samples for gNB accuracy requirements </w:t>
            </w:r>
          </w:p>
          <w:p w14:paraId="46929448" w14:textId="6B1BB450" w:rsidR="001D51FB" w:rsidRPr="002F55E0" w:rsidRDefault="008B73E6" w:rsidP="002F55E0">
            <w:pPr>
              <w:pStyle w:val="ListParagraph"/>
              <w:numPr>
                <w:ilvl w:val="0"/>
                <w:numId w:val="16"/>
              </w:numPr>
              <w:spacing w:after="120"/>
              <w:ind w:left="714" w:hanging="357"/>
              <w:contextualSpacing w:val="0"/>
              <w:rPr>
                <w:color w:val="000000" w:themeColor="text1"/>
                <w:lang w:val="en-GB" w:eastAsia="zh-CN"/>
              </w:rPr>
            </w:pPr>
            <w:r w:rsidRPr="002F55E0">
              <w:rPr>
                <w:color w:val="000000" w:themeColor="text1"/>
                <w:lang w:eastAsia="zh-CN"/>
              </w:rPr>
              <w:t xml:space="preserve">FFS: </w:t>
            </w:r>
            <w:r w:rsidR="002F55E0" w:rsidRPr="002F55E0">
              <w:rPr>
                <w:color w:val="000000" w:themeColor="text1"/>
                <w:lang w:eastAsia="zh-CN"/>
              </w:rPr>
              <w:t>if multiple shots are used for lowest SRS BW group per SCS in case performance is not satisfactory.</w:t>
            </w:r>
          </w:p>
        </w:tc>
      </w:tr>
    </w:tbl>
    <w:p w14:paraId="4FDE32CD" w14:textId="3E5A7DA3" w:rsidR="006F28AC" w:rsidRPr="00A85F40" w:rsidRDefault="005D28EE" w:rsidP="00480972">
      <w:pPr>
        <w:spacing w:before="120" w:after="0"/>
        <w:ind w:right="-23"/>
      </w:pPr>
      <w:r w:rsidRPr="00A85F40">
        <w:t xml:space="preserve">This contribution treats </w:t>
      </w:r>
      <w:r w:rsidR="002F55E0">
        <w:t xml:space="preserve">the first </w:t>
      </w:r>
      <w:r w:rsidRPr="00A85F40">
        <w:t xml:space="preserve">open issue with regard to </w:t>
      </w:r>
      <w:r w:rsidR="00F30010">
        <w:t xml:space="preserve">Rx </w:t>
      </w:r>
      <w:r w:rsidR="008B73E6" w:rsidRPr="00A85F40">
        <w:t xml:space="preserve">beam </w:t>
      </w:r>
      <w:r w:rsidR="008F6FD0" w:rsidRPr="00A85F40">
        <w:t>configuration</w:t>
      </w:r>
      <w:r w:rsidRPr="00A85F40">
        <w:t>.</w:t>
      </w:r>
      <w:r w:rsidR="002F55E0">
        <w:t xml:space="preserve"> </w:t>
      </w:r>
      <w:r w:rsidR="00F30010">
        <w:t>Furthermore, open issues on RF and implementation margin for SRS-RSRP and SRS BW grouping for SRS-RSRP are discussed.</w:t>
      </w:r>
    </w:p>
    <w:p w14:paraId="1A4FB904" w14:textId="77777777" w:rsidR="002C2D19" w:rsidRPr="007C2BCE" w:rsidRDefault="00E50C1F" w:rsidP="00955257">
      <w:pPr>
        <w:pStyle w:val="RAN4H1"/>
        <w:ind w:left="357" w:hanging="357"/>
        <w:rPr>
          <w:lang w:val="en-US"/>
        </w:rPr>
      </w:pPr>
      <w:r w:rsidRPr="007C2BCE">
        <w:rPr>
          <w:lang w:val="en-US"/>
        </w:rPr>
        <w:t>Discussion</w:t>
      </w:r>
    </w:p>
    <w:p w14:paraId="7F79A06C" w14:textId="7C7791FE" w:rsidR="00971AF1" w:rsidRPr="007C2BCE" w:rsidRDefault="00FA02D2" w:rsidP="00AC5F11">
      <w:pPr>
        <w:spacing w:after="240"/>
        <w:rPr>
          <w:color w:val="000000" w:themeColor="text1"/>
        </w:rPr>
      </w:pPr>
      <w:r w:rsidRPr="007C2BCE">
        <w:rPr>
          <w:color w:val="000000" w:themeColor="text1"/>
          <w:lang w:eastAsia="x-none"/>
        </w:rPr>
        <w:t>The discussion in this sec</w:t>
      </w:r>
      <w:r w:rsidR="003F5D0F" w:rsidRPr="007C2BCE">
        <w:rPr>
          <w:color w:val="000000" w:themeColor="text1"/>
          <w:lang w:eastAsia="x-none"/>
        </w:rPr>
        <w:t>tion</w:t>
      </w:r>
      <w:r w:rsidR="009D15E4" w:rsidRPr="007C2BCE">
        <w:rPr>
          <w:color w:val="000000" w:themeColor="text1"/>
          <w:lang w:eastAsia="x-none"/>
        </w:rPr>
        <w:t xml:space="preserve"> </w:t>
      </w:r>
      <w:r w:rsidR="003F5D0F" w:rsidRPr="007C2BCE">
        <w:rPr>
          <w:color w:val="000000" w:themeColor="text1"/>
          <w:lang w:eastAsia="x-none"/>
        </w:rPr>
        <w:t>re</w:t>
      </w:r>
      <w:r w:rsidR="00B341AF" w:rsidRPr="007C2BCE">
        <w:rPr>
          <w:color w:val="000000" w:themeColor="text1"/>
          <w:lang w:eastAsia="x-none"/>
        </w:rPr>
        <w:t>fers</w:t>
      </w:r>
      <w:r w:rsidR="003F5D0F" w:rsidRPr="007C2BCE">
        <w:rPr>
          <w:color w:val="000000" w:themeColor="text1"/>
          <w:lang w:eastAsia="x-none"/>
        </w:rPr>
        <w:t xml:space="preserve"> to</w:t>
      </w:r>
      <w:r w:rsidR="005D7AF2" w:rsidRPr="007C2BCE">
        <w:rPr>
          <w:color w:val="000000" w:themeColor="text1"/>
          <w:lang w:eastAsia="x-none"/>
        </w:rPr>
        <w:t xml:space="preserve"> </w:t>
      </w:r>
      <w:r w:rsidR="005F451C">
        <w:rPr>
          <w:color w:val="000000" w:themeColor="text1"/>
          <w:lang w:eastAsia="x-none"/>
        </w:rPr>
        <w:t xml:space="preserve">the </w:t>
      </w:r>
      <w:r w:rsidR="002F55E0">
        <w:rPr>
          <w:color w:val="000000" w:themeColor="text1"/>
          <w:lang w:eastAsia="x-none"/>
        </w:rPr>
        <w:t xml:space="preserve">first </w:t>
      </w:r>
      <w:r w:rsidR="005D7AF2" w:rsidRPr="007C2BCE">
        <w:rPr>
          <w:color w:val="000000" w:themeColor="text1"/>
          <w:lang w:eastAsia="x-none"/>
        </w:rPr>
        <w:t>open issue</w:t>
      </w:r>
      <w:r w:rsidR="002F55E0">
        <w:rPr>
          <w:color w:val="000000" w:themeColor="text1"/>
          <w:lang w:eastAsia="x-none"/>
        </w:rPr>
        <w:t xml:space="preserve"> </w:t>
      </w:r>
      <w:r w:rsidR="005F451C">
        <w:rPr>
          <w:color w:val="000000" w:themeColor="text1"/>
          <w:lang w:eastAsia="x-none"/>
        </w:rPr>
        <w:t xml:space="preserve">in section 1 </w:t>
      </w:r>
      <w:r w:rsidR="002F55E0">
        <w:rPr>
          <w:color w:val="000000" w:themeColor="text1"/>
          <w:lang w:eastAsia="x-none"/>
        </w:rPr>
        <w:t xml:space="preserve">and </w:t>
      </w:r>
      <w:r w:rsidR="005F451C">
        <w:rPr>
          <w:color w:val="000000" w:themeColor="text1"/>
          <w:lang w:eastAsia="x-none"/>
        </w:rPr>
        <w:t xml:space="preserve">two </w:t>
      </w:r>
      <w:r w:rsidR="002F55E0">
        <w:rPr>
          <w:color w:val="000000" w:themeColor="text1"/>
          <w:lang w:eastAsia="x-none"/>
        </w:rPr>
        <w:t>open issues for SRS-RSRP</w:t>
      </w:r>
      <w:r w:rsidR="00A30CAA" w:rsidRPr="007C2BCE">
        <w:rPr>
          <w:color w:val="000000" w:themeColor="text1"/>
          <w:lang w:eastAsia="x-none"/>
        </w:rPr>
        <w:t>.</w:t>
      </w:r>
    </w:p>
    <w:p w14:paraId="7FD9CEA5" w14:textId="6B258E16" w:rsidR="001C0453" w:rsidRPr="007C2BCE" w:rsidRDefault="00480972" w:rsidP="003F5D0F">
      <w:pPr>
        <w:pStyle w:val="RAN4H2"/>
      </w:pPr>
      <w:bookmarkStart w:id="2" w:name="_Hlk47565958"/>
      <w:r>
        <w:t xml:space="preserve">Beam </w:t>
      </w:r>
      <w:r w:rsidR="00AB6DB5">
        <w:t>configuration</w:t>
      </w:r>
      <w:r>
        <w:t xml:space="preserve"> during gNB measurement</w:t>
      </w:r>
    </w:p>
    <w:p w14:paraId="7B4BEFA5" w14:textId="042D7DAD" w:rsidR="00E71CDC" w:rsidRDefault="00480972" w:rsidP="00480972">
      <w:pPr>
        <w:spacing w:after="120"/>
        <w:rPr>
          <w:lang w:eastAsia="x-none"/>
        </w:rPr>
      </w:pPr>
      <w:r>
        <w:rPr>
          <w:lang w:eastAsia="x-none"/>
        </w:rPr>
        <w:t>RAN4 #98-e</w:t>
      </w:r>
      <w:r w:rsidR="002303E0">
        <w:rPr>
          <w:lang w:eastAsia="x-none"/>
        </w:rPr>
        <w:t xml:space="preserve"> achieved the </w:t>
      </w:r>
      <w:r>
        <w:rPr>
          <w:lang w:eastAsia="x-none"/>
        </w:rPr>
        <w:t xml:space="preserve">agreement that </w:t>
      </w:r>
      <w:r w:rsidR="00926EAE" w:rsidRPr="00926EAE">
        <w:rPr>
          <w:color w:val="000000" w:themeColor="text1"/>
          <w:lang w:val="en-GB" w:eastAsia="zh-CN"/>
        </w:rPr>
        <w:t>gNB accuracy requirements do not mandate gNB RX beam sweeping</w:t>
      </w:r>
      <w:r w:rsidR="002303E0">
        <w:rPr>
          <w:color w:val="000000" w:themeColor="text1"/>
          <w:lang w:val="en-GB" w:eastAsia="zh-CN"/>
        </w:rPr>
        <w:t xml:space="preserve">. At </w:t>
      </w:r>
      <w:r w:rsidR="002303E0">
        <w:rPr>
          <w:lang w:eastAsia="x-none"/>
        </w:rPr>
        <w:t>RAN4 #98-bis-e, several companies stated preference that gNB accuracy requirements are specified in a RX beam configuration agnostic manner and thus</w:t>
      </w:r>
      <w:r w:rsidR="005B7715">
        <w:rPr>
          <w:lang w:eastAsia="x-none"/>
        </w:rPr>
        <w:t>,</w:t>
      </w:r>
      <w:r w:rsidR="002303E0">
        <w:rPr>
          <w:lang w:eastAsia="x-none"/>
        </w:rPr>
        <w:t xml:space="preserve"> the side condition</w:t>
      </w:r>
      <w:r w:rsidR="005B7715">
        <w:rPr>
          <w:lang w:eastAsia="x-none"/>
        </w:rPr>
        <w:t xml:space="preserve"> related to the above agreement</w:t>
      </w:r>
      <w:r w:rsidR="002303E0">
        <w:rPr>
          <w:lang w:eastAsia="x-none"/>
        </w:rPr>
        <w:t xml:space="preserve"> is </w:t>
      </w:r>
      <w:r w:rsidR="005B7715">
        <w:rPr>
          <w:lang w:eastAsia="x-none"/>
        </w:rPr>
        <w:t xml:space="preserve">not needed. </w:t>
      </w:r>
      <w:r w:rsidR="00086B3A">
        <w:rPr>
          <w:lang w:eastAsia="x-none"/>
        </w:rPr>
        <w:t>During the discussion the RoAoA side condition, as reflected above, was then agreed.</w:t>
      </w:r>
    </w:p>
    <w:p w14:paraId="4D03F1CE" w14:textId="2DB4620D" w:rsidR="00926EAE" w:rsidRDefault="00E71CDC" w:rsidP="00C3489E">
      <w:pPr>
        <w:spacing w:after="120"/>
        <w:rPr>
          <w:color w:val="000000" w:themeColor="text1"/>
          <w:lang w:val="en-GB" w:eastAsia="zh-CN"/>
        </w:rPr>
      </w:pPr>
      <w:r>
        <w:rPr>
          <w:lang w:eastAsia="x-none"/>
        </w:rPr>
        <w:t xml:space="preserve">While we agree that the accuracy requirements are valid for all used RX beam configurations and hence should be specified in a </w:t>
      </w:r>
      <w:r w:rsidR="00086B3A">
        <w:rPr>
          <w:lang w:eastAsia="x-none"/>
        </w:rPr>
        <w:t xml:space="preserve">RX beam configuration </w:t>
      </w:r>
      <w:r>
        <w:rPr>
          <w:lang w:eastAsia="x-none"/>
        </w:rPr>
        <w:t xml:space="preserve">agnostic manner, we believe that the accuracy requirements should be specified in such way, that </w:t>
      </w:r>
      <w:r w:rsidR="00086B3A">
        <w:rPr>
          <w:lang w:eastAsia="x-none"/>
        </w:rPr>
        <w:t xml:space="preserve">in view of conformance testing, </w:t>
      </w:r>
      <w:r>
        <w:rPr>
          <w:lang w:eastAsia="x-none"/>
        </w:rPr>
        <w:t xml:space="preserve">they can be </w:t>
      </w:r>
      <w:r w:rsidR="00086B3A">
        <w:rPr>
          <w:lang w:eastAsia="x-none"/>
        </w:rPr>
        <w:t>verifi</w:t>
      </w:r>
      <w:r>
        <w:rPr>
          <w:lang w:eastAsia="x-none"/>
        </w:rPr>
        <w:t xml:space="preserve">ed </w:t>
      </w:r>
      <w:r w:rsidR="00086B3A">
        <w:rPr>
          <w:lang w:eastAsia="x-none"/>
        </w:rPr>
        <w:t>in</w:t>
      </w:r>
      <w:r>
        <w:rPr>
          <w:lang w:eastAsia="x-none"/>
        </w:rPr>
        <w:t xml:space="preserve"> a simplified test environment, i.e. with a </w:t>
      </w:r>
      <w:r>
        <w:rPr>
          <w:lang w:eastAsia="x-none"/>
        </w:rPr>
        <w:lastRenderedPageBreak/>
        <w:t xml:space="preserve">stationary test device and pre-configured RX beams, where accuracy performance is </w:t>
      </w:r>
      <w:r w:rsidR="004D1341">
        <w:rPr>
          <w:lang w:eastAsia="x-none"/>
        </w:rPr>
        <w:t>verified over RoAoA for OTA gNB types as agreed at RAN4 #98-bis-e. Thus, accuracy requirements should be defined such</w:t>
      </w:r>
      <w:r w:rsidR="00F04B6C">
        <w:rPr>
          <w:lang w:eastAsia="x-none"/>
        </w:rPr>
        <w:t>,</w:t>
      </w:r>
      <w:r w:rsidR="004D1341">
        <w:rPr>
          <w:lang w:eastAsia="x-none"/>
        </w:rPr>
        <w:t xml:space="preserve"> that no RX beam sweeping</w:t>
      </w:r>
      <w:r w:rsidR="00F04B6C">
        <w:rPr>
          <w:lang w:eastAsia="x-none"/>
        </w:rPr>
        <w:t xml:space="preserve"> </w:t>
      </w:r>
      <w:r w:rsidR="004D1341">
        <w:rPr>
          <w:lang w:eastAsia="x-none"/>
        </w:rPr>
        <w:t>is required during the measurement</w:t>
      </w:r>
      <w:r w:rsidR="00F04B6C">
        <w:rPr>
          <w:lang w:eastAsia="x-none"/>
        </w:rPr>
        <w:t xml:space="preserve"> </w:t>
      </w:r>
      <w:r w:rsidR="00C3489E">
        <w:rPr>
          <w:lang w:eastAsia="x-none"/>
        </w:rPr>
        <w:t xml:space="preserve">and for OTA gNB types performance at the outer </w:t>
      </w:r>
      <w:r w:rsidR="00086B3A">
        <w:rPr>
          <w:lang w:eastAsia="x-none"/>
        </w:rPr>
        <w:t xml:space="preserve">3 dB </w:t>
      </w:r>
      <w:r w:rsidR="00C3489E">
        <w:rPr>
          <w:lang w:eastAsia="x-none"/>
        </w:rPr>
        <w:t>points of RoAoA is assessed</w:t>
      </w:r>
      <w:r w:rsidR="00F04B6C">
        <w:rPr>
          <w:lang w:eastAsia="x-none"/>
        </w:rPr>
        <w:t xml:space="preserve"> while UE target direction matches with the center point</w:t>
      </w:r>
      <w:r w:rsidR="004D1341">
        <w:rPr>
          <w:lang w:eastAsia="x-none"/>
        </w:rPr>
        <w:t>.</w:t>
      </w:r>
      <w:r w:rsidR="00C3489E">
        <w:rPr>
          <w:lang w:eastAsia="x-none"/>
        </w:rPr>
        <w:t xml:space="preserve"> </w:t>
      </w:r>
      <w:r w:rsidR="00F04B6C">
        <w:rPr>
          <w:lang w:eastAsia="x-none"/>
        </w:rPr>
        <w:t xml:space="preserve">Hence the above RAN4 #98-e agreement </w:t>
      </w:r>
      <w:r w:rsidR="00480972">
        <w:rPr>
          <w:color w:val="000000" w:themeColor="text1"/>
          <w:lang w:val="en-GB" w:eastAsia="zh-CN"/>
        </w:rPr>
        <w:t xml:space="preserve">should be captured not only in the WF but also in the normative work. i.e. in TS 38.133 as part of the side conditions for </w:t>
      </w:r>
      <w:r w:rsidR="00086B3A">
        <w:rPr>
          <w:color w:val="000000" w:themeColor="text1"/>
          <w:lang w:val="en-GB" w:eastAsia="zh-CN"/>
        </w:rPr>
        <w:t xml:space="preserve">SRS-RSRP and gNB Rx-Tx time difference </w:t>
      </w:r>
      <w:r w:rsidR="00480972">
        <w:rPr>
          <w:color w:val="000000" w:themeColor="text1"/>
          <w:lang w:val="en-GB" w:eastAsia="zh-CN"/>
        </w:rPr>
        <w:t>accuracy requirements</w:t>
      </w:r>
      <w:r w:rsidR="00C3489E">
        <w:rPr>
          <w:color w:val="000000" w:themeColor="text1"/>
          <w:lang w:val="en-GB" w:eastAsia="zh-CN"/>
        </w:rPr>
        <w:t>.</w:t>
      </w:r>
    </w:p>
    <w:p w14:paraId="7BA7926E" w14:textId="21A2ED8C" w:rsidR="00480972" w:rsidRPr="007C2BCE" w:rsidRDefault="00583AD5" w:rsidP="00480972">
      <w:r>
        <w:t>Based on the above, f</w:t>
      </w:r>
      <w:r w:rsidR="00480972" w:rsidRPr="007C2BCE">
        <w:t>ollowing proposal</w:t>
      </w:r>
      <w:r w:rsidR="00086B3A">
        <w:t>s</w:t>
      </w:r>
      <w:r w:rsidR="00480972" w:rsidRPr="007C2BCE">
        <w:t xml:space="preserve"> </w:t>
      </w:r>
      <w:r w:rsidR="00086B3A">
        <w:t>are</w:t>
      </w:r>
      <w:r w:rsidR="00480972" w:rsidRPr="007C2BCE">
        <w:t xml:space="preserve"> made: </w:t>
      </w:r>
    </w:p>
    <w:p w14:paraId="3A3F8D34" w14:textId="7A36D28D" w:rsidR="00086B3A" w:rsidRPr="007C2BCE" w:rsidRDefault="00480972" w:rsidP="00086B3A">
      <w:pPr>
        <w:pStyle w:val="RAN4proposal"/>
        <w:ind w:left="1134" w:hanging="1134"/>
      </w:pPr>
      <w:r w:rsidRPr="007C2BCE">
        <w:tab/>
      </w:r>
      <w:r w:rsidR="00086B3A">
        <w:t>“</w:t>
      </w:r>
      <w:r w:rsidRPr="00480972">
        <w:t xml:space="preserve">gNB accuracy requirements do not mandate gNB RX beam sweeping </w:t>
      </w:r>
      <w:r w:rsidR="00086B3A">
        <w:t xml:space="preserve">during the measurement” </w:t>
      </w:r>
      <w:r w:rsidRPr="00480972">
        <w:t>is included in the accuracy side conditions</w:t>
      </w:r>
      <w:r w:rsidR="00AB6DB5">
        <w:t xml:space="preserve"> in TS 38.133</w:t>
      </w:r>
      <w:r w:rsidR="00086B3A">
        <w:t xml:space="preserve"> for SRS-RSRP and gNB Rx-Tx time difference</w:t>
      </w:r>
      <w:r w:rsidR="00AB6DB5">
        <w:t>.</w:t>
      </w:r>
    </w:p>
    <w:p w14:paraId="3318D078" w14:textId="3484C4A4" w:rsidR="00086B3A" w:rsidRDefault="00086B3A" w:rsidP="00086B3A">
      <w:pPr>
        <w:pStyle w:val="RAN4proposal"/>
        <w:ind w:left="1134" w:hanging="1134"/>
      </w:pPr>
      <w:r w:rsidRPr="007C2BCE">
        <w:tab/>
      </w:r>
      <w:r w:rsidR="00583AD5">
        <w:t xml:space="preserve">For </w:t>
      </w:r>
      <w:r w:rsidR="00583AD5">
        <w:rPr>
          <w:lang w:eastAsia="x-none"/>
        </w:rPr>
        <w:t xml:space="preserve">OTA gNB types 1-O and 2-O, it is added in the side conditions that accuracy requirements apply for a mismatch of UE target direction and gNB RX beam direction within RoAoA.  </w:t>
      </w:r>
    </w:p>
    <w:p w14:paraId="19D10C23" w14:textId="6C7CD109" w:rsidR="002F55E0" w:rsidRDefault="002F55E0" w:rsidP="00AB6DB5">
      <w:pPr>
        <w:pStyle w:val="RAN4H2"/>
      </w:pPr>
      <w:r>
        <w:t xml:space="preserve">RF and Implementation Margin for SRS-RSRP </w:t>
      </w:r>
    </w:p>
    <w:p w14:paraId="0B6C2761" w14:textId="185678CF" w:rsidR="002F55E0" w:rsidRDefault="002F55E0" w:rsidP="002F55E0">
      <w:r>
        <w:t>Discussion on RF and implementation margin for SRS-RSRP for specified gNB types has been continued at RAN4 #98-bis-e. Following options are listed in the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F55E0" w14:paraId="3CD335D3" w14:textId="77777777" w:rsidTr="002F55E0">
        <w:tc>
          <w:tcPr>
            <w:tcW w:w="9617" w:type="dxa"/>
          </w:tcPr>
          <w:p w14:paraId="6AD334A2" w14:textId="77777777" w:rsidR="002F55E0" w:rsidRPr="002F55E0" w:rsidRDefault="002F55E0" w:rsidP="002F55E0">
            <w:pPr>
              <w:numPr>
                <w:ilvl w:val="0"/>
                <w:numId w:val="36"/>
              </w:numPr>
              <w:tabs>
                <w:tab w:val="clear" w:pos="720"/>
              </w:tabs>
              <w:spacing w:after="60"/>
              <w:ind w:left="318" w:hanging="318"/>
              <w:rPr>
                <w:lang w:val="en-GB"/>
              </w:rPr>
            </w:pPr>
            <w:r w:rsidRPr="002F55E0">
              <w:rPr>
                <w:lang w:val="en-GB"/>
              </w:rPr>
              <w:t>Option 1:</w:t>
            </w:r>
          </w:p>
          <w:p w14:paraId="43972AAE" w14:textId="77777777" w:rsidR="002F55E0" w:rsidRPr="002F55E0" w:rsidRDefault="002F55E0" w:rsidP="002F55E0">
            <w:pPr>
              <w:numPr>
                <w:ilvl w:val="1"/>
                <w:numId w:val="36"/>
              </w:numPr>
              <w:tabs>
                <w:tab w:val="clear" w:pos="1440"/>
                <w:tab w:val="num" w:pos="601"/>
              </w:tabs>
              <w:spacing w:after="60"/>
              <w:ind w:left="601" w:hanging="283"/>
              <w:rPr>
                <w:lang w:val="en-GB"/>
              </w:rPr>
            </w:pPr>
            <w:r w:rsidRPr="002F55E0">
              <w:rPr>
                <w:lang w:val="en-GB"/>
              </w:rPr>
              <w:t>RF calibration margin differs between gNB type 1-C and other gNB types:</w:t>
            </w:r>
          </w:p>
          <w:p w14:paraId="194D2A8F" w14:textId="77777777" w:rsidR="002F55E0" w:rsidRPr="002F55E0" w:rsidRDefault="002F55E0" w:rsidP="002F55E0">
            <w:pPr>
              <w:numPr>
                <w:ilvl w:val="2"/>
                <w:numId w:val="36"/>
              </w:numPr>
              <w:spacing w:after="60"/>
              <w:ind w:left="885" w:hanging="283"/>
              <w:rPr>
                <w:lang w:val="en-GB"/>
              </w:rPr>
            </w:pPr>
            <w:r w:rsidRPr="002F55E0">
              <w:rPr>
                <w:lang w:val="en-GB"/>
              </w:rPr>
              <w:t>X=2.5dB for gNB type 1-C</w:t>
            </w:r>
          </w:p>
          <w:p w14:paraId="40665F28" w14:textId="77777777" w:rsidR="002F55E0" w:rsidRPr="002F55E0" w:rsidRDefault="002F55E0" w:rsidP="002F55E0">
            <w:pPr>
              <w:numPr>
                <w:ilvl w:val="2"/>
                <w:numId w:val="36"/>
              </w:numPr>
              <w:spacing w:after="60"/>
              <w:ind w:left="885" w:hanging="283"/>
              <w:rPr>
                <w:lang w:val="en-GB"/>
              </w:rPr>
            </w:pPr>
            <w:r w:rsidRPr="002F55E0">
              <w:rPr>
                <w:lang w:val="en-GB"/>
              </w:rPr>
              <w:t>X=4dB for gNB type 1-H, 1-O and 2-O</w:t>
            </w:r>
          </w:p>
          <w:p w14:paraId="325D45A4" w14:textId="77777777" w:rsidR="002F55E0" w:rsidRPr="002F55E0" w:rsidRDefault="002F55E0" w:rsidP="002F55E0">
            <w:pPr>
              <w:numPr>
                <w:ilvl w:val="0"/>
                <w:numId w:val="36"/>
              </w:numPr>
              <w:tabs>
                <w:tab w:val="clear" w:pos="720"/>
              </w:tabs>
              <w:spacing w:after="60"/>
              <w:ind w:left="318" w:hanging="318"/>
              <w:rPr>
                <w:lang w:val="en-GB"/>
              </w:rPr>
            </w:pPr>
            <w:r w:rsidRPr="002F55E0">
              <w:rPr>
                <w:lang w:val="en-GB"/>
              </w:rPr>
              <w:t>Option 2:</w:t>
            </w:r>
          </w:p>
          <w:p w14:paraId="3F4582B0" w14:textId="77777777" w:rsidR="002F55E0" w:rsidRPr="002F55E0" w:rsidRDefault="002F55E0" w:rsidP="00A00927">
            <w:pPr>
              <w:numPr>
                <w:ilvl w:val="1"/>
                <w:numId w:val="36"/>
              </w:numPr>
              <w:tabs>
                <w:tab w:val="clear" w:pos="1440"/>
              </w:tabs>
              <w:spacing w:after="60"/>
              <w:ind w:left="601" w:hanging="283"/>
              <w:rPr>
                <w:lang w:val="en-GB"/>
              </w:rPr>
            </w:pPr>
            <w:r w:rsidRPr="002F55E0">
              <w:rPr>
                <w:lang w:val="en-GB"/>
              </w:rPr>
              <w:t>RF margin needs further discussion</w:t>
            </w:r>
          </w:p>
          <w:p w14:paraId="4E15FE8D" w14:textId="684E5F2C" w:rsidR="002F55E0" w:rsidRPr="00A00927" w:rsidRDefault="002F55E0" w:rsidP="00A00927">
            <w:pPr>
              <w:numPr>
                <w:ilvl w:val="2"/>
                <w:numId w:val="36"/>
              </w:numPr>
              <w:tabs>
                <w:tab w:val="clear" w:pos="2160"/>
              </w:tabs>
              <w:spacing w:after="120"/>
              <w:ind w:left="885" w:hanging="284"/>
              <w:rPr>
                <w:lang w:val="en-GB"/>
              </w:rPr>
            </w:pPr>
            <w:r w:rsidRPr="002F55E0">
              <w:rPr>
                <w:lang w:val="en-GB"/>
              </w:rPr>
              <w:t>Investigate RF margin for different gNB types (1-C, 1-H, 1-O and 2-O)</w:t>
            </w:r>
          </w:p>
        </w:tc>
      </w:tr>
    </w:tbl>
    <w:p w14:paraId="628E0866" w14:textId="03A75B39" w:rsidR="00476D71" w:rsidRDefault="00583AD5" w:rsidP="005F451C">
      <w:pPr>
        <w:spacing w:before="120" w:after="120"/>
      </w:pPr>
      <w:r>
        <w:t xml:space="preserve">Since baseline accuracy requirements are not yet defined for SRS-RSRP and </w:t>
      </w:r>
      <w:r w:rsidR="00476D71">
        <w:t xml:space="preserve">different options for </w:t>
      </w:r>
      <w:r>
        <w:t>SRS-BW grouping</w:t>
      </w:r>
      <w:r w:rsidR="00476D71">
        <w:t xml:space="preserve"> are being discussed</w:t>
      </w:r>
      <w:r w:rsidR="005F451C">
        <w:t xml:space="preserve"> based on link simulation results based on agreed updated simulation assumptions [</w:t>
      </w:r>
      <w:r w:rsidR="00F30010">
        <w:t>2</w:t>
      </w:r>
      <w:r w:rsidR="005F451C">
        <w:t>]</w:t>
      </w:r>
      <w:r>
        <w:t xml:space="preserve">, we prefer to defer the definition of RF and implementation margin </w:t>
      </w:r>
      <w:r w:rsidR="00476D71">
        <w:t xml:space="preserve">for SRS-RSRP </w:t>
      </w:r>
      <w:r>
        <w:t xml:space="preserve">until the structure of baseline accuracy requirements is </w:t>
      </w:r>
      <w:r w:rsidR="00476D71">
        <w:t>agreed.</w:t>
      </w:r>
    </w:p>
    <w:p w14:paraId="230AA398" w14:textId="371FD00B" w:rsidR="007703B8" w:rsidRPr="002F55E0" w:rsidRDefault="00476D71" w:rsidP="002F55E0">
      <w:pPr>
        <w:pStyle w:val="RAN4proposal"/>
        <w:ind w:left="1134" w:hanging="1134"/>
      </w:pPr>
      <w:r>
        <w:t xml:space="preserve"> </w:t>
      </w:r>
      <w:r w:rsidRPr="007C2BCE">
        <w:tab/>
      </w:r>
      <w:r>
        <w:t>Defer the</w:t>
      </w:r>
      <w:r w:rsidRPr="00476D71">
        <w:t xml:space="preserve"> </w:t>
      </w:r>
      <w:r>
        <w:t>definition of RF and implementation margin for SRS-RSRP until the structure of baseline accuracy requirements is agreed.</w:t>
      </w:r>
    </w:p>
    <w:p w14:paraId="2938A1C9" w14:textId="2214BDB2" w:rsidR="00AB6DB5" w:rsidRDefault="00AB6DB5" w:rsidP="00AB6DB5">
      <w:pPr>
        <w:pStyle w:val="RAN4H2"/>
      </w:pPr>
      <w:r w:rsidRPr="00AB6DB5">
        <w:t>SRS</w:t>
      </w:r>
      <w:r w:rsidR="00A00927">
        <w:t xml:space="preserve"> </w:t>
      </w:r>
      <w:r w:rsidR="005F451C">
        <w:t>BW grouping</w:t>
      </w:r>
      <w:r w:rsidRPr="00AB6DB5">
        <w:t xml:space="preserve"> fo</w:t>
      </w:r>
      <w:r w:rsidR="002F55E0">
        <w:t>r SRS-RSRP</w:t>
      </w:r>
    </w:p>
    <w:p w14:paraId="3818EDE1" w14:textId="77777777" w:rsidR="00E10756" w:rsidRDefault="001F01AC" w:rsidP="00E10756">
      <w:pPr>
        <w:rPr>
          <w:lang w:eastAsia="x-none"/>
        </w:rPr>
      </w:pPr>
      <w:r>
        <w:rPr>
          <w:lang w:eastAsia="x-none"/>
        </w:rPr>
        <w:t>Based on RAN4 #98-</w:t>
      </w:r>
      <w:r w:rsidR="00A00927">
        <w:rPr>
          <w:lang w:eastAsia="x-none"/>
        </w:rPr>
        <w:t xml:space="preserve">bis-e discussion, the SRS BW grouping for SRS-RSRP measurement accuracy will be derived from link simulation results. </w:t>
      </w:r>
    </w:p>
    <w:p w14:paraId="4C93C610" w14:textId="0AA209F2" w:rsidR="00F30010" w:rsidRDefault="00E10756" w:rsidP="00E10756">
      <w:pPr>
        <w:rPr>
          <w:lang w:eastAsia="x-none"/>
        </w:rPr>
      </w:pPr>
      <w:r>
        <w:rPr>
          <w:lang w:eastAsia="x-none"/>
        </w:rPr>
        <w:t>To this meeting</w:t>
      </w:r>
      <w:r w:rsidR="00402150">
        <w:rPr>
          <w:lang w:eastAsia="x-none"/>
        </w:rPr>
        <w:t>,</w:t>
      </w:r>
      <w:r>
        <w:rPr>
          <w:lang w:eastAsia="x-none"/>
        </w:rPr>
        <w:t xml:space="preserve"> w</w:t>
      </w:r>
      <w:r w:rsidR="00F30010">
        <w:rPr>
          <w:lang w:eastAsia="x-none"/>
        </w:rPr>
        <w:t xml:space="preserve">e provide </w:t>
      </w:r>
      <w:r w:rsidR="00F30010">
        <w:t>link simulations for SRS-RSRP</w:t>
      </w:r>
      <w:r>
        <w:t xml:space="preserve"> accuracy in the companion paper</w:t>
      </w:r>
      <w:r w:rsidR="00F30010">
        <w:t xml:space="preserve"> [</w:t>
      </w:r>
      <w:r>
        <w:t>3</w:t>
      </w:r>
      <w:r w:rsidR="00F30010">
        <w:t>].</w:t>
      </w:r>
    </w:p>
    <w:p w14:paraId="4DE11CD5" w14:textId="279BCE97" w:rsidR="00A00927" w:rsidRDefault="00A00927" w:rsidP="00A30CAA">
      <w:pPr>
        <w:rPr>
          <w:lang w:eastAsia="x-none"/>
        </w:rPr>
      </w:pPr>
      <w:r>
        <w:rPr>
          <w:lang w:eastAsia="x-none"/>
        </w:rPr>
        <w:t xml:space="preserve">Two candidate options </w:t>
      </w:r>
      <w:r w:rsidR="00402150">
        <w:rPr>
          <w:lang w:eastAsia="x-none"/>
        </w:rPr>
        <w:t xml:space="preserve">on SRS BW grouping </w:t>
      </w:r>
      <w:r>
        <w:rPr>
          <w:lang w:eastAsia="x-none"/>
        </w:rPr>
        <w:t>were proposed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00927" w14:paraId="2D94F7F9" w14:textId="77777777" w:rsidTr="00A00927">
        <w:tc>
          <w:tcPr>
            <w:tcW w:w="9617" w:type="dxa"/>
          </w:tcPr>
          <w:p w14:paraId="2A8566AB" w14:textId="54EEAE91" w:rsidR="00A00927" w:rsidRPr="00A00927" w:rsidRDefault="00A00927" w:rsidP="00A00927">
            <w:pPr>
              <w:pStyle w:val="TAH"/>
              <w:spacing w:after="120"/>
              <w:jc w:val="left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bookmarkStart w:id="3" w:name="_Hlk71230120"/>
            <w:r w:rsidRPr="00A00927">
              <w:rPr>
                <w:rFonts w:ascii="Times New Roman" w:hAnsi="Times New Roman"/>
                <w:b w:val="0"/>
                <w:bCs/>
                <w:sz w:val="20"/>
                <w:lang w:val="en-US"/>
              </w:rPr>
              <w:t>Candidate option 1:</w:t>
            </w:r>
          </w:p>
          <w:p w14:paraId="46F9D44A" w14:textId="4076D991" w:rsidR="00A00927" w:rsidRDefault="00A00927" w:rsidP="00A00927">
            <w:pPr>
              <w:pStyle w:val="TAH"/>
              <w:spacing w:after="120"/>
              <w:rPr>
                <w:lang w:val="en-US"/>
              </w:rPr>
            </w:pPr>
            <w:r w:rsidRPr="00E01DA7">
              <w:rPr>
                <w:lang w:val="en-US"/>
              </w:rPr>
              <w:t xml:space="preserve">Table </w:t>
            </w:r>
            <w:r>
              <w:rPr>
                <w:lang w:val="en-US"/>
              </w:rPr>
              <w:t>1</w:t>
            </w:r>
            <w:r w:rsidRPr="00E01DA7">
              <w:rPr>
                <w:lang w:val="en-US"/>
              </w:rPr>
              <w:t xml:space="preserve">: </w:t>
            </w:r>
            <w:r>
              <w:rPr>
                <w:lang w:val="en-US"/>
              </w:rPr>
              <w:t xml:space="preserve">SRS BW grouping in FR1. </w:t>
            </w:r>
          </w:p>
          <w:tbl>
            <w:tblPr>
              <w:tblStyle w:val="TableGrid"/>
              <w:tblW w:w="0" w:type="auto"/>
              <w:tblInd w:w="279" w:type="dxa"/>
              <w:tblLook w:val="04A0" w:firstRow="1" w:lastRow="0" w:firstColumn="1" w:lastColumn="0" w:noHBand="0" w:noVBand="1"/>
            </w:tblPr>
            <w:tblGrid>
              <w:gridCol w:w="2693"/>
              <w:gridCol w:w="3119"/>
              <w:gridCol w:w="3118"/>
            </w:tblGrid>
            <w:tr w:rsidR="00A00927" w14:paraId="152AF836" w14:textId="77777777" w:rsidTr="004370C9">
              <w:tc>
                <w:tcPr>
                  <w:tcW w:w="2693" w:type="dxa"/>
                  <w:vMerge w:val="restart"/>
                </w:tcPr>
                <w:p w14:paraId="7951E3A3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  <w:t>SRS bandwidth in RB</w:t>
                  </w:r>
                </w:p>
              </w:tc>
              <w:tc>
                <w:tcPr>
                  <w:tcW w:w="6237" w:type="dxa"/>
                  <w:gridSpan w:val="2"/>
                </w:tcPr>
                <w:p w14:paraId="5596CC5D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</w:rPr>
                  </w:pPr>
                  <w:r w:rsidRPr="00911BB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SRS-RSRP measurement accuracy [dB] </w:t>
                  </w:r>
                </w:p>
              </w:tc>
            </w:tr>
            <w:tr w:rsidR="00A00927" w14:paraId="1A8DC9D6" w14:textId="77777777" w:rsidTr="004370C9">
              <w:tc>
                <w:tcPr>
                  <w:tcW w:w="2693" w:type="dxa"/>
                  <w:vMerge/>
                </w:tcPr>
                <w:p w14:paraId="2C80DCBA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</w:p>
              </w:tc>
              <w:tc>
                <w:tcPr>
                  <w:tcW w:w="3119" w:type="dxa"/>
                </w:tcPr>
                <w:p w14:paraId="66A08C62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Ês/Iot ≥ -13dB</w:t>
                  </w:r>
                </w:p>
              </w:tc>
              <w:tc>
                <w:tcPr>
                  <w:tcW w:w="3118" w:type="dxa"/>
                </w:tcPr>
                <w:p w14:paraId="38366A03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Ês/Iot ≥ +3dB</w:t>
                  </w:r>
                </w:p>
              </w:tc>
            </w:tr>
            <w:tr w:rsidR="00A00927" w14:paraId="3E62CBE9" w14:textId="77777777" w:rsidTr="004370C9">
              <w:tc>
                <w:tcPr>
                  <w:tcW w:w="2693" w:type="dxa"/>
                </w:tcPr>
                <w:p w14:paraId="4C84DAED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24</w:t>
                  </w: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position w:val="-6"/>
                      <w:sz w:val="20"/>
                      <w:vertAlign w:val="subscript"/>
                    </w:rPr>
                    <w:t xml:space="preserve"> </w:t>
                  </w: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≤ BW ≤ 40</w:t>
                  </w:r>
                </w:p>
              </w:tc>
              <w:tc>
                <w:tcPr>
                  <w:tcW w:w="3119" w:type="dxa"/>
                </w:tcPr>
                <w:p w14:paraId="1FCF9B2E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TBD</w:t>
                  </w:r>
                </w:p>
              </w:tc>
              <w:tc>
                <w:tcPr>
                  <w:tcW w:w="3118" w:type="dxa"/>
                </w:tcPr>
                <w:p w14:paraId="7A80E875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TBD</w:t>
                  </w:r>
                </w:p>
              </w:tc>
            </w:tr>
            <w:tr w:rsidR="00A00927" w14:paraId="1535BDE0" w14:textId="77777777" w:rsidTr="004370C9">
              <w:tc>
                <w:tcPr>
                  <w:tcW w:w="2693" w:type="dxa"/>
                </w:tcPr>
                <w:p w14:paraId="6F3589C6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FF0000"/>
                      <w:kern w:val="24"/>
                      <w:position w:val="-6"/>
                      <w:sz w:val="20"/>
                      <w:vertAlign w:val="subscript"/>
                    </w:rPr>
                    <w:t xml:space="preserve"> </w:t>
                  </w: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FF0000"/>
                      <w:kern w:val="24"/>
                      <w:sz w:val="20"/>
                    </w:rPr>
                    <w:t xml:space="preserve">44 </w:t>
                  </w: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≤ BW ≤ 84</w:t>
                  </w:r>
                </w:p>
              </w:tc>
              <w:tc>
                <w:tcPr>
                  <w:tcW w:w="3119" w:type="dxa"/>
                </w:tcPr>
                <w:p w14:paraId="73F372DA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TBD</w:t>
                  </w:r>
                </w:p>
              </w:tc>
              <w:tc>
                <w:tcPr>
                  <w:tcW w:w="3118" w:type="dxa"/>
                </w:tcPr>
                <w:p w14:paraId="5D8A1433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TBD</w:t>
                  </w:r>
                </w:p>
              </w:tc>
            </w:tr>
            <w:tr w:rsidR="00A00927" w14:paraId="4F79554D" w14:textId="77777777" w:rsidTr="004370C9">
              <w:tc>
                <w:tcPr>
                  <w:tcW w:w="2693" w:type="dxa"/>
                </w:tcPr>
                <w:p w14:paraId="49C1E994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position w:val="-6"/>
                      <w:sz w:val="20"/>
                      <w:vertAlign w:val="subscript"/>
                    </w:rPr>
                    <w:t xml:space="preserve"> </w:t>
                  </w: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88 ≤ BW ≤ 168</w:t>
                  </w:r>
                </w:p>
              </w:tc>
              <w:tc>
                <w:tcPr>
                  <w:tcW w:w="3119" w:type="dxa"/>
                </w:tcPr>
                <w:p w14:paraId="2F2ABD3D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TBD</w:t>
                  </w:r>
                </w:p>
              </w:tc>
              <w:tc>
                <w:tcPr>
                  <w:tcW w:w="3118" w:type="dxa"/>
                </w:tcPr>
                <w:p w14:paraId="15AAAB46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TBD</w:t>
                  </w:r>
                </w:p>
              </w:tc>
            </w:tr>
            <w:tr w:rsidR="00A00927" w14:paraId="5FC4559E" w14:textId="77777777" w:rsidTr="004370C9">
              <w:tc>
                <w:tcPr>
                  <w:tcW w:w="2693" w:type="dxa"/>
                </w:tcPr>
                <w:p w14:paraId="7CCA3FA3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176</w:t>
                  </w: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position w:val="-6"/>
                      <w:sz w:val="20"/>
                      <w:vertAlign w:val="subscript"/>
                    </w:rPr>
                    <w:t xml:space="preserve"> </w:t>
                  </w: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≤ BW ≤ 272</w:t>
                  </w:r>
                </w:p>
              </w:tc>
              <w:tc>
                <w:tcPr>
                  <w:tcW w:w="3119" w:type="dxa"/>
                </w:tcPr>
                <w:p w14:paraId="75F85A28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TBD</w:t>
                  </w:r>
                </w:p>
              </w:tc>
              <w:tc>
                <w:tcPr>
                  <w:tcW w:w="3118" w:type="dxa"/>
                </w:tcPr>
                <w:p w14:paraId="53A799CE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TBD</w:t>
                  </w:r>
                </w:p>
              </w:tc>
            </w:tr>
          </w:tbl>
          <w:p w14:paraId="0A1569D1" w14:textId="77777777" w:rsidR="00A00927" w:rsidRDefault="00A00927" w:rsidP="00A00927">
            <w:pPr>
              <w:pStyle w:val="TAH"/>
              <w:spacing w:after="120"/>
              <w:rPr>
                <w:lang w:val="en-US"/>
              </w:rPr>
            </w:pPr>
          </w:p>
          <w:bookmarkEnd w:id="3"/>
          <w:p w14:paraId="72891B1D" w14:textId="77777777" w:rsidR="00A00927" w:rsidRDefault="00A00927" w:rsidP="00A00927">
            <w:pPr>
              <w:pStyle w:val="TAH"/>
              <w:spacing w:after="120"/>
              <w:rPr>
                <w:lang w:val="en-US"/>
              </w:rPr>
            </w:pPr>
            <w:r w:rsidRPr="00E01DA7">
              <w:rPr>
                <w:lang w:val="en-US"/>
              </w:rPr>
              <w:t>Table</w:t>
            </w:r>
            <w:r>
              <w:rPr>
                <w:lang w:val="en-US"/>
              </w:rPr>
              <w:t xml:space="preserve"> 2</w:t>
            </w:r>
            <w:r w:rsidRPr="00E01DA7">
              <w:rPr>
                <w:lang w:val="en-US"/>
              </w:rPr>
              <w:t xml:space="preserve">: </w:t>
            </w:r>
            <w:r>
              <w:rPr>
                <w:lang w:val="en-US"/>
              </w:rPr>
              <w:t xml:space="preserve">SRS BW grouping in FR2. </w:t>
            </w:r>
          </w:p>
          <w:tbl>
            <w:tblPr>
              <w:tblStyle w:val="TableGrid"/>
              <w:tblW w:w="0" w:type="auto"/>
              <w:tblInd w:w="279" w:type="dxa"/>
              <w:tblLook w:val="04A0" w:firstRow="1" w:lastRow="0" w:firstColumn="1" w:lastColumn="0" w:noHBand="0" w:noVBand="1"/>
            </w:tblPr>
            <w:tblGrid>
              <w:gridCol w:w="2693"/>
              <w:gridCol w:w="3119"/>
              <w:gridCol w:w="3118"/>
            </w:tblGrid>
            <w:tr w:rsidR="00A00927" w14:paraId="62165DFD" w14:textId="77777777" w:rsidTr="004370C9">
              <w:tc>
                <w:tcPr>
                  <w:tcW w:w="2693" w:type="dxa"/>
                  <w:vMerge w:val="restart"/>
                </w:tcPr>
                <w:p w14:paraId="10E21D7A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  <w:t>SRS bandwidth in RB</w:t>
                  </w:r>
                </w:p>
              </w:tc>
              <w:tc>
                <w:tcPr>
                  <w:tcW w:w="6237" w:type="dxa"/>
                  <w:gridSpan w:val="2"/>
                </w:tcPr>
                <w:p w14:paraId="4D918133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</w:rPr>
                  </w:pPr>
                  <w:r w:rsidRPr="00911BB6">
                    <w:rPr>
                      <w:rFonts w:ascii="Times New Roman" w:hAnsi="Times New Roman"/>
                      <w:b w:val="0"/>
                      <w:bCs/>
                      <w:sz w:val="20"/>
                    </w:rPr>
                    <w:t>SRS-RSRP measurement accuracy [dB] </w:t>
                  </w:r>
                </w:p>
              </w:tc>
            </w:tr>
            <w:tr w:rsidR="00A00927" w14:paraId="06152A6F" w14:textId="77777777" w:rsidTr="004370C9">
              <w:tc>
                <w:tcPr>
                  <w:tcW w:w="2693" w:type="dxa"/>
                  <w:vMerge/>
                </w:tcPr>
                <w:p w14:paraId="0F20924C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</w:p>
              </w:tc>
              <w:tc>
                <w:tcPr>
                  <w:tcW w:w="3119" w:type="dxa"/>
                </w:tcPr>
                <w:p w14:paraId="6F9929D9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Ês/Iot ≥ -13dB</w:t>
                  </w:r>
                </w:p>
              </w:tc>
              <w:tc>
                <w:tcPr>
                  <w:tcW w:w="3118" w:type="dxa"/>
                </w:tcPr>
                <w:p w14:paraId="61E76B88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Ês/Iot ≥ +3dB</w:t>
                  </w:r>
                </w:p>
              </w:tc>
            </w:tr>
            <w:tr w:rsidR="00A00927" w14:paraId="7C36ACB4" w14:textId="77777777" w:rsidTr="004370C9">
              <w:tc>
                <w:tcPr>
                  <w:tcW w:w="2693" w:type="dxa"/>
                </w:tcPr>
                <w:p w14:paraId="7509989F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32</w:t>
                  </w: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position w:val="-6"/>
                      <w:sz w:val="20"/>
                      <w:vertAlign w:val="subscript"/>
                    </w:rPr>
                    <w:t xml:space="preserve"> </w:t>
                  </w: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≤ BW ≤ 40</w:t>
                  </w:r>
                </w:p>
              </w:tc>
              <w:tc>
                <w:tcPr>
                  <w:tcW w:w="3119" w:type="dxa"/>
                </w:tcPr>
                <w:p w14:paraId="0C3103BA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TBD</w:t>
                  </w:r>
                </w:p>
              </w:tc>
              <w:tc>
                <w:tcPr>
                  <w:tcW w:w="3118" w:type="dxa"/>
                </w:tcPr>
                <w:p w14:paraId="4F68A2B4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TBD</w:t>
                  </w:r>
                </w:p>
              </w:tc>
            </w:tr>
            <w:tr w:rsidR="00A00927" w14:paraId="156AFF2D" w14:textId="77777777" w:rsidTr="004370C9">
              <w:tc>
                <w:tcPr>
                  <w:tcW w:w="2693" w:type="dxa"/>
                </w:tcPr>
                <w:p w14:paraId="588C6302" w14:textId="77777777" w:rsidR="00A00927" w:rsidRPr="007D66C9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7D66C9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position w:val="-6"/>
                      <w:sz w:val="20"/>
                      <w:vertAlign w:val="subscript"/>
                    </w:rPr>
                    <w:t xml:space="preserve"> </w:t>
                  </w:r>
                  <w:r w:rsidRPr="007D66C9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44 ≤ BW ≤ 84</w:t>
                  </w:r>
                </w:p>
              </w:tc>
              <w:tc>
                <w:tcPr>
                  <w:tcW w:w="3119" w:type="dxa"/>
                </w:tcPr>
                <w:p w14:paraId="1CBF3A0A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TBD</w:t>
                  </w:r>
                </w:p>
              </w:tc>
              <w:tc>
                <w:tcPr>
                  <w:tcW w:w="3118" w:type="dxa"/>
                </w:tcPr>
                <w:p w14:paraId="6F226434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TBD</w:t>
                  </w:r>
                </w:p>
              </w:tc>
            </w:tr>
            <w:tr w:rsidR="00A00927" w14:paraId="60F1464D" w14:textId="77777777" w:rsidTr="004370C9">
              <w:tc>
                <w:tcPr>
                  <w:tcW w:w="2693" w:type="dxa"/>
                </w:tcPr>
                <w:p w14:paraId="44CC248F" w14:textId="77777777" w:rsidR="00A00927" w:rsidRPr="007D66C9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7D66C9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 xml:space="preserve">BW </w:t>
                  </w:r>
                  <w:r w:rsidRPr="007D66C9">
                    <w:rPr>
                      <w:rFonts w:ascii="Times New Roman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≥</w:t>
                  </w:r>
                  <w:r w:rsidRPr="007D66C9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 xml:space="preserve"> 88</w:t>
                  </w:r>
                </w:p>
              </w:tc>
              <w:tc>
                <w:tcPr>
                  <w:tcW w:w="3119" w:type="dxa"/>
                </w:tcPr>
                <w:p w14:paraId="66A3592A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TBD</w:t>
                  </w:r>
                </w:p>
              </w:tc>
              <w:tc>
                <w:tcPr>
                  <w:tcW w:w="3118" w:type="dxa"/>
                </w:tcPr>
                <w:p w14:paraId="23A08A95" w14:textId="77777777" w:rsidR="00A00927" w:rsidRPr="00911BB6" w:rsidRDefault="00A00927" w:rsidP="00A00927">
                  <w:pPr>
                    <w:pStyle w:val="TAH"/>
                    <w:rPr>
                      <w:rFonts w:ascii="Times New Roman" w:hAnsi="Times New Roman"/>
                      <w:b w:val="0"/>
                      <w:bCs/>
                      <w:sz w:val="20"/>
                      <w:lang w:val="en-US"/>
                    </w:rPr>
                  </w:pPr>
                  <w:r w:rsidRPr="00911BB6">
                    <w:rPr>
                      <w:rFonts w:ascii="Times New Roman" w:eastAsia="Yu Mincho" w:hAnsi="Times New Roman"/>
                      <w:b w:val="0"/>
                      <w:bCs/>
                      <w:color w:val="000000" w:themeColor="text1"/>
                      <w:kern w:val="24"/>
                      <w:sz w:val="20"/>
                    </w:rPr>
                    <w:t>TBD</w:t>
                  </w:r>
                </w:p>
              </w:tc>
            </w:tr>
          </w:tbl>
          <w:p w14:paraId="2322DF73" w14:textId="77777777" w:rsidR="00A00927" w:rsidRDefault="00A00927" w:rsidP="00A00927"/>
          <w:p w14:paraId="39F1DD24" w14:textId="0EBD8DEA" w:rsidR="00A00927" w:rsidRDefault="00A00927" w:rsidP="00A30CAA">
            <w:pPr>
              <w:rPr>
                <w:lang w:eastAsia="x-none"/>
              </w:rPr>
            </w:pPr>
            <w:r>
              <w:rPr>
                <w:lang w:eastAsia="x-none"/>
              </w:rPr>
              <w:t>Candidate option 2:</w:t>
            </w:r>
          </w:p>
          <w:p w14:paraId="05988E49" w14:textId="77777777" w:rsidR="00A00927" w:rsidRPr="00A00927" w:rsidRDefault="00A00927" w:rsidP="00A00927">
            <w:pPr>
              <w:numPr>
                <w:ilvl w:val="2"/>
                <w:numId w:val="37"/>
              </w:numPr>
              <w:tabs>
                <w:tab w:val="clear" w:pos="2160"/>
              </w:tabs>
              <w:ind w:left="601" w:hanging="283"/>
              <w:rPr>
                <w:lang w:val="en-GB" w:eastAsia="x-none"/>
              </w:rPr>
            </w:pPr>
            <w:r w:rsidRPr="00A00927">
              <w:rPr>
                <w:lang w:val="en-GB" w:eastAsia="x-none"/>
              </w:rPr>
              <w:t>For SINR +3dB, one set of accuracy for all SRS BWs and for all combinations of comb+symbol</w:t>
            </w:r>
          </w:p>
          <w:p w14:paraId="0AD52263" w14:textId="4514EB3F" w:rsidR="00A00927" w:rsidRPr="00A00927" w:rsidRDefault="00A00927" w:rsidP="00A00927">
            <w:pPr>
              <w:numPr>
                <w:ilvl w:val="2"/>
                <w:numId w:val="37"/>
              </w:numPr>
              <w:tabs>
                <w:tab w:val="clear" w:pos="2160"/>
              </w:tabs>
              <w:spacing w:after="120"/>
              <w:ind w:left="602" w:hanging="284"/>
              <w:rPr>
                <w:lang w:val="en-GB" w:eastAsia="x-none"/>
              </w:rPr>
            </w:pPr>
            <w:r w:rsidRPr="00A00927">
              <w:rPr>
                <w:lang w:val="en-GB" w:eastAsia="x-none"/>
              </w:rPr>
              <w:t xml:space="preserve">For SINR -13dB, two sets of requirements, one for 24≤RB_num&lt;[64] and the other for [64]≤RB_num. </w:t>
            </w:r>
          </w:p>
        </w:tc>
      </w:tr>
    </w:tbl>
    <w:p w14:paraId="021C4B47" w14:textId="70766238" w:rsidR="00C55A64" w:rsidRDefault="00A00927" w:rsidP="007703B8">
      <w:pPr>
        <w:spacing w:before="240" w:after="120"/>
        <w:rPr>
          <w:lang w:eastAsia="x-none"/>
        </w:rPr>
      </w:pPr>
      <w:r w:rsidRPr="00E10756">
        <w:rPr>
          <w:lang w:eastAsia="x-none"/>
        </w:rPr>
        <w:t>In our view, option 1 better takes into account the SRS</w:t>
      </w:r>
      <w:r w:rsidR="00F30010" w:rsidRPr="00E10756">
        <w:rPr>
          <w:lang w:eastAsia="x-none"/>
        </w:rPr>
        <w:t>-RSRP accuracy</w:t>
      </w:r>
      <w:r w:rsidRPr="00E10756">
        <w:rPr>
          <w:lang w:eastAsia="x-none"/>
        </w:rPr>
        <w:t xml:space="preserve"> performance</w:t>
      </w:r>
      <w:r w:rsidR="00E10756" w:rsidRPr="00E10756">
        <w:rPr>
          <w:lang w:eastAsia="x-none"/>
        </w:rPr>
        <w:t xml:space="preserve"> and hence is better suited than option</w:t>
      </w:r>
      <w:r w:rsidR="00E10756">
        <w:rPr>
          <w:lang w:eastAsia="x-none"/>
        </w:rPr>
        <w:t xml:space="preserve"> </w:t>
      </w:r>
      <w:r w:rsidR="00E10756" w:rsidRPr="00E10756">
        <w:rPr>
          <w:lang w:eastAsia="x-none"/>
        </w:rPr>
        <w:t xml:space="preserve">2. This is in particular valid for the low </w:t>
      </w:r>
      <w:r w:rsidR="00E10756" w:rsidRPr="00E10756">
        <w:rPr>
          <w:rFonts w:eastAsia="Yu Mincho"/>
          <w:bCs/>
          <w:color w:val="000000" w:themeColor="text1"/>
          <w:kern w:val="24"/>
        </w:rPr>
        <w:t>Ês</w:t>
      </w:r>
      <w:r w:rsidR="00E10756" w:rsidRPr="00911BB6">
        <w:rPr>
          <w:rFonts w:eastAsia="Yu Mincho"/>
          <w:bCs/>
          <w:color w:val="000000" w:themeColor="text1"/>
          <w:kern w:val="24"/>
        </w:rPr>
        <w:t>/Iot</w:t>
      </w:r>
      <w:r w:rsidR="00E10756">
        <w:rPr>
          <w:rFonts w:eastAsia="Yu Mincho"/>
          <w:bCs/>
          <w:color w:val="000000" w:themeColor="text1"/>
          <w:kern w:val="24"/>
        </w:rPr>
        <w:t xml:space="preserve"> ratio, whilst for the high </w:t>
      </w:r>
      <w:r w:rsidR="00E10756" w:rsidRPr="00911BB6">
        <w:rPr>
          <w:rFonts w:eastAsia="Yu Mincho"/>
          <w:bCs/>
          <w:color w:val="000000" w:themeColor="text1"/>
          <w:kern w:val="24"/>
        </w:rPr>
        <w:t>Ês/Iot</w:t>
      </w:r>
      <w:r w:rsidR="00E10756">
        <w:rPr>
          <w:rFonts w:eastAsia="Yu Mincho"/>
          <w:bCs/>
          <w:color w:val="000000" w:themeColor="text1"/>
          <w:kern w:val="24"/>
        </w:rPr>
        <w:t xml:space="preserve"> ratio the dependency on the SRS BW is reduced and hence performance based on fewer groups can be defined [3]. However, we observe a clear dependency on the number of RE symbols in the SRS resource (i.e. in one subframe) and this aspects should be taken into account</w:t>
      </w:r>
      <w:r w:rsidR="00402150">
        <w:rPr>
          <w:rFonts w:eastAsia="Yu Mincho"/>
          <w:bCs/>
          <w:color w:val="000000" w:themeColor="text1"/>
          <w:kern w:val="24"/>
        </w:rPr>
        <w:t xml:space="preserve"> for defining accuracy requirements for SRS-RSRP</w:t>
      </w:r>
      <w:r w:rsidR="00E10756">
        <w:rPr>
          <w:rFonts w:eastAsia="Yu Mincho"/>
          <w:bCs/>
          <w:color w:val="000000" w:themeColor="text1"/>
          <w:kern w:val="24"/>
        </w:rPr>
        <w:t>.</w:t>
      </w:r>
      <w:r w:rsidR="00F30010">
        <w:rPr>
          <w:lang w:eastAsia="x-none"/>
        </w:rPr>
        <w:t xml:space="preserve"> </w:t>
      </w:r>
    </w:p>
    <w:p w14:paraId="29301772" w14:textId="276709C9" w:rsidR="00A30CAA" w:rsidRPr="007C2BCE" w:rsidRDefault="00AF7CC7" w:rsidP="00AF7CC7">
      <w:r>
        <w:rPr>
          <w:lang w:eastAsia="x-none"/>
        </w:rPr>
        <w:t xml:space="preserve">It is </w:t>
      </w:r>
      <w:r w:rsidR="00476D71">
        <w:rPr>
          <w:lang w:eastAsia="x-none"/>
        </w:rPr>
        <w:t xml:space="preserve">therefore </w:t>
      </w:r>
      <w:r>
        <w:rPr>
          <w:lang w:eastAsia="x-none"/>
        </w:rPr>
        <w:t xml:space="preserve">proposed to </w:t>
      </w:r>
      <w:r w:rsidR="00476D71">
        <w:rPr>
          <w:lang w:eastAsia="x-none"/>
        </w:rPr>
        <w:t>adopt</w:t>
      </w:r>
      <w:r>
        <w:rPr>
          <w:lang w:eastAsia="x-none"/>
        </w:rPr>
        <w:t xml:space="preserve"> SRS BW grouping </w:t>
      </w:r>
      <w:r w:rsidR="00476D71">
        <w:rPr>
          <w:lang w:eastAsia="x-none"/>
        </w:rPr>
        <w:t xml:space="preserve">candidate option 1 for </w:t>
      </w:r>
      <w:r>
        <w:rPr>
          <w:lang w:eastAsia="x-none"/>
        </w:rPr>
        <w:t>SRS</w:t>
      </w:r>
      <w:r w:rsidR="00476D71">
        <w:rPr>
          <w:lang w:eastAsia="x-none"/>
        </w:rPr>
        <w:t>-RSRP</w:t>
      </w:r>
      <w:r>
        <w:rPr>
          <w:lang w:eastAsia="x-none"/>
        </w:rPr>
        <w:t xml:space="preserve"> accuracy requirements in TS 38.133</w:t>
      </w:r>
      <w:r w:rsidR="00402150">
        <w:rPr>
          <w:lang w:eastAsia="x-none"/>
        </w:rPr>
        <w:t xml:space="preserve"> at least for low </w:t>
      </w:r>
      <w:r w:rsidR="00402150" w:rsidRPr="00E10756">
        <w:rPr>
          <w:rFonts w:eastAsia="Yu Mincho"/>
          <w:bCs/>
          <w:color w:val="000000" w:themeColor="text1"/>
          <w:kern w:val="24"/>
        </w:rPr>
        <w:t>Ês</w:t>
      </w:r>
      <w:r w:rsidR="00402150" w:rsidRPr="00911BB6">
        <w:rPr>
          <w:rFonts w:eastAsia="Yu Mincho"/>
          <w:bCs/>
          <w:color w:val="000000" w:themeColor="text1"/>
          <w:kern w:val="24"/>
        </w:rPr>
        <w:t>/Iot</w:t>
      </w:r>
      <w:r w:rsidR="00402150">
        <w:rPr>
          <w:rFonts w:eastAsia="Yu Mincho"/>
          <w:bCs/>
          <w:color w:val="000000" w:themeColor="text1"/>
          <w:kern w:val="24"/>
        </w:rPr>
        <w:t xml:space="preserve"> ratio and to consider reduction of SRS BW groups for high </w:t>
      </w:r>
      <w:r w:rsidR="00402150" w:rsidRPr="00E10756">
        <w:rPr>
          <w:rFonts w:eastAsia="Yu Mincho"/>
          <w:bCs/>
          <w:color w:val="000000" w:themeColor="text1"/>
          <w:kern w:val="24"/>
        </w:rPr>
        <w:t>Ês</w:t>
      </w:r>
      <w:r w:rsidR="00402150" w:rsidRPr="00911BB6">
        <w:rPr>
          <w:rFonts w:eastAsia="Yu Mincho"/>
          <w:bCs/>
          <w:color w:val="000000" w:themeColor="text1"/>
          <w:kern w:val="24"/>
        </w:rPr>
        <w:t>/Iot</w:t>
      </w:r>
      <w:r w:rsidR="00402150">
        <w:rPr>
          <w:rFonts w:eastAsia="Yu Mincho"/>
          <w:bCs/>
          <w:color w:val="000000" w:themeColor="text1"/>
          <w:kern w:val="24"/>
        </w:rPr>
        <w:t xml:space="preserve"> ratio.</w:t>
      </w:r>
      <w:r w:rsidR="00402150">
        <w:rPr>
          <w:lang w:eastAsia="x-none"/>
        </w:rPr>
        <w:t xml:space="preserve"> </w:t>
      </w:r>
      <w:r>
        <w:rPr>
          <w:lang w:eastAsia="x-none"/>
        </w:rPr>
        <w:t xml:space="preserve"> </w:t>
      </w:r>
    </w:p>
    <w:p w14:paraId="35003F17" w14:textId="7C3F81B9" w:rsidR="00A30CAA" w:rsidRPr="007C2BCE" w:rsidRDefault="00A30CAA" w:rsidP="00A30CAA">
      <w:r w:rsidRPr="007C2BCE">
        <w:t>Following proposal</w:t>
      </w:r>
      <w:r w:rsidR="00AF16F5">
        <w:t>s</w:t>
      </w:r>
      <w:r w:rsidRPr="007C2BCE">
        <w:t xml:space="preserve"> </w:t>
      </w:r>
      <w:r w:rsidR="00AF16F5">
        <w:t>are</w:t>
      </w:r>
      <w:r w:rsidRPr="007C2BCE">
        <w:t xml:space="preserve"> made: </w:t>
      </w:r>
    </w:p>
    <w:p w14:paraId="69D7EA79" w14:textId="77777777" w:rsidR="005D43E0" w:rsidRPr="005D43E0" w:rsidRDefault="00010940" w:rsidP="008F6FD0">
      <w:pPr>
        <w:pStyle w:val="RAN4proposal"/>
        <w:ind w:left="1134" w:hanging="1134"/>
        <w:rPr>
          <w:color w:val="000000" w:themeColor="text1"/>
        </w:rPr>
      </w:pPr>
      <w:r w:rsidRPr="007C2BCE">
        <w:tab/>
      </w:r>
      <w:r w:rsidR="00476D71">
        <w:t>Adopt</w:t>
      </w:r>
      <w:r w:rsidR="00AF7CC7" w:rsidRPr="00AF7CC7">
        <w:t xml:space="preserve"> SRS BW grouping </w:t>
      </w:r>
      <w:r w:rsidR="00476D71">
        <w:t xml:space="preserve">candidate option 1 for </w:t>
      </w:r>
      <w:r w:rsidR="00AF7CC7" w:rsidRPr="00AF7CC7">
        <w:t>SRS</w:t>
      </w:r>
      <w:r w:rsidR="00476D71">
        <w:t>-RSRP</w:t>
      </w:r>
      <w:r w:rsidR="00AF7CC7" w:rsidRPr="00AF7CC7">
        <w:t xml:space="preserve"> accuracy requirements in TS 38.133</w:t>
      </w:r>
      <w:r w:rsidR="00402150">
        <w:t xml:space="preserve"> </w:t>
      </w:r>
      <w:r w:rsidR="00402150">
        <w:rPr>
          <w:lang w:eastAsia="x-none"/>
        </w:rPr>
        <w:t xml:space="preserve">at least for low </w:t>
      </w:r>
      <w:r w:rsidR="00402150" w:rsidRPr="00402150">
        <w:rPr>
          <w:rFonts w:eastAsia="Yu Mincho"/>
          <w:color w:val="000000" w:themeColor="text1"/>
          <w:kern w:val="24"/>
        </w:rPr>
        <w:t>Ês/Iot</w:t>
      </w:r>
      <w:r w:rsidR="00402150">
        <w:rPr>
          <w:rFonts w:eastAsia="Yu Mincho"/>
          <w:bCs/>
          <w:color w:val="000000" w:themeColor="text1"/>
          <w:kern w:val="24"/>
        </w:rPr>
        <w:t xml:space="preserve"> ratio and consider reduction of SRS BW groups </w:t>
      </w:r>
      <w:r w:rsidR="00402150" w:rsidRPr="00402150">
        <w:rPr>
          <w:rFonts w:eastAsia="Yu Mincho"/>
          <w:bCs/>
          <w:color w:val="000000" w:themeColor="text1"/>
          <w:kern w:val="24"/>
        </w:rPr>
        <w:t>for high Ês/Iot ratio.</w:t>
      </w:r>
      <w:r w:rsidR="00402150">
        <w:rPr>
          <w:rFonts w:eastAsia="Yu Mincho"/>
          <w:bCs/>
          <w:color w:val="000000" w:themeColor="text1"/>
          <w:kern w:val="24"/>
        </w:rPr>
        <w:t xml:space="preserve"> </w:t>
      </w:r>
    </w:p>
    <w:p w14:paraId="6D59C8A8" w14:textId="0C2B2707" w:rsidR="00A30CAA" w:rsidRDefault="005D43E0" w:rsidP="008F6FD0">
      <w:pPr>
        <w:pStyle w:val="RAN4proposal"/>
        <w:ind w:left="1134" w:hanging="1134"/>
        <w:rPr>
          <w:color w:val="000000" w:themeColor="text1"/>
        </w:rPr>
      </w:pPr>
      <w:r>
        <w:tab/>
      </w:r>
      <w:r w:rsidR="00402150">
        <w:rPr>
          <w:rFonts w:eastAsia="Yu Mincho"/>
          <w:bCs/>
          <w:color w:val="000000" w:themeColor="text1"/>
          <w:kern w:val="24"/>
        </w:rPr>
        <w:t>Take into account performance difference for SRS symbol and comb size c</w:t>
      </w:r>
      <w:r>
        <w:rPr>
          <w:rFonts w:eastAsia="Yu Mincho"/>
          <w:bCs/>
          <w:color w:val="000000" w:themeColor="text1"/>
          <w:kern w:val="24"/>
        </w:rPr>
        <w:t>ombinations with different number of RE’s per subframe.</w:t>
      </w:r>
    </w:p>
    <w:bookmarkEnd w:id="2"/>
    <w:p w14:paraId="3FDCF414" w14:textId="4C3D0B0C" w:rsidR="00CD7492" w:rsidRPr="005F451C" w:rsidRDefault="00CD7492" w:rsidP="00A37002">
      <w:pPr>
        <w:pStyle w:val="RAN4H1"/>
        <w:rPr>
          <w:lang w:val="en-US"/>
        </w:rPr>
      </w:pPr>
      <w:r w:rsidRPr="005F451C">
        <w:rPr>
          <w:lang w:val="en-US"/>
        </w:rPr>
        <w:t>Conclusion</w:t>
      </w:r>
    </w:p>
    <w:p w14:paraId="1A8C67AE" w14:textId="22F8F87C" w:rsidR="00971AF1" w:rsidRPr="007C2BCE" w:rsidRDefault="0098494A" w:rsidP="00211053">
      <w:r w:rsidRPr="007C2BCE">
        <w:t xml:space="preserve">This contribution </w:t>
      </w:r>
      <w:r w:rsidR="008F7385" w:rsidRPr="007C2BCE">
        <w:t xml:space="preserve">has discussed </w:t>
      </w:r>
      <w:r w:rsidR="008F6FD0">
        <w:t>o</w:t>
      </w:r>
      <w:r w:rsidR="00A300DD" w:rsidRPr="007C2BCE">
        <w:t xml:space="preserve">pen issues with regard to </w:t>
      </w:r>
      <w:r w:rsidR="005F451C">
        <w:t xml:space="preserve">RX </w:t>
      </w:r>
      <w:r w:rsidR="008F6FD0">
        <w:t>beam configuration</w:t>
      </w:r>
      <w:r w:rsidR="005F451C">
        <w:t>, RF and implementation margin for SRS-RSRP</w:t>
      </w:r>
      <w:r w:rsidR="008F6FD0">
        <w:t xml:space="preserve"> and settings for</w:t>
      </w:r>
      <w:r w:rsidR="008F6FD0" w:rsidRPr="007C2BCE">
        <w:t xml:space="preserve"> SRS </w:t>
      </w:r>
      <w:r w:rsidR="005F451C">
        <w:t xml:space="preserve">BW grouping for SRS-RSRP </w:t>
      </w:r>
      <w:r w:rsidR="00125A5F" w:rsidRPr="007C2BCE">
        <w:rPr>
          <w:rFonts w:eastAsia="Calibri" w:cs="Times New Roman"/>
          <w:szCs w:val="20"/>
        </w:rPr>
        <w:t xml:space="preserve">measurement </w:t>
      </w:r>
      <w:r w:rsidR="00121A72" w:rsidRPr="007C2BCE">
        <w:rPr>
          <w:rFonts w:eastAsia="Calibri" w:cs="Times New Roman"/>
          <w:szCs w:val="20"/>
        </w:rPr>
        <w:t xml:space="preserve">accuracy </w:t>
      </w:r>
      <w:r w:rsidR="00125A5F" w:rsidRPr="007C2BCE">
        <w:rPr>
          <w:rFonts w:eastAsia="Calibri" w:cs="Times New Roman"/>
          <w:szCs w:val="20"/>
        </w:rPr>
        <w:t xml:space="preserve">requirements </w:t>
      </w:r>
      <w:r w:rsidR="007A3695" w:rsidRPr="007C2BCE">
        <w:rPr>
          <w:rFonts w:eastAsia="Calibri" w:cs="Times New Roman"/>
          <w:szCs w:val="20"/>
        </w:rPr>
        <w:t>for NR positioning</w:t>
      </w:r>
      <w:r w:rsidR="00681DD5" w:rsidRPr="007C2BCE">
        <w:rPr>
          <w:rFonts w:eastAsia="Calibri" w:cs="Times New Roman"/>
          <w:szCs w:val="20"/>
        </w:rPr>
        <w:t xml:space="preserve">. </w:t>
      </w:r>
      <w:r w:rsidRPr="007C2BCE">
        <w:t xml:space="preserve">It is proposed </w:t>
      </w:r>
      <w:r w:rsidR="008F7385" w:rsidRPr="007C2BCE">
        <w:t xml:space="preserve">to </w:t>
      </w:r>
      <w:r w:rsidRPr="007C2BCE">
        <w:t>agree the following proposal</w:t>
      </w:r>
      <w:r w:rsidR="00681DD5" w:rsidRPr="007C2BCE">
        <w:t>s</w:t>
      </w:r>
      <w:r w:rsidRPr="007C2BCE">
        <w:t>:</w:t>
      </w:r>
    </w:p>
    <w:p w14:paraId="234A4590" w14:textId="231FD140" w:rsidR="005F451C" w:rsidRPr="005F451C" w:rsidRDefault="005F451C" w:rsidP="00A300DD">
      <w:pPr>
        <w:pStyle w:val="RAN4Proposal0"/>
        <w:spacing w:after="200"/>
        <w:ind w:left="1134" w:hanging="1134"/>
        <w:contextualSpacing w:val="0"/>
        <w:rPr>
          <w:lang w:val="en-US"/>
        </w:rPr>
      </w:pPr>
      <w:r>
        <w:t>“</w:t>
      </w:r>
      <w:r w:rsidRPr="00480972">
        <w:t xml:space="preserve">gNB accuracy requirements do not mandate gNB RX beam sweeping </w:t>
      </w:r>
      <w:r>
        <w:t xml:space="preserve">during the measurement” </w:t>
      </w:r>
      <w:r w:rsidRPr="00480972">
        <w:t>is included in the accuracy side conditions</w:t>
      </w:r>
      <w:r>
        <w:t xml:space="preserve"> in TS 38.133 for SRS-RSRP and gNB Rx-Tx time difference.</w:t>
      </w:r>
    </w:p>
    <w:p w14:paraId="08C26655" w14:textId="228D56DE" w:rsidR="00A300DD" w:rsidRDefault="00476D71" w:rsidP="00A300DD">
      <w:pPr>
        <w:pStyle w:val="RAN4Proposal0"/>
        <w:spacing w:after="200"/>
        <w:ind w:left="1134" w:hanging="1134"/>
        <w:contextualSpacing w:val="0"/>
        <w:rPr>
          <w:lang w:val="en-US"/>
        </w:rPr>
      </w:pPr>
      <w:r>
        <w:t xml:space="preserve">For </w:t>
      </w:r>
      <w:r>
        <w:rPr>
          <w:lang w:eastAsia="x-none"/>
        </w:rPr>
        <w:t>OTA gNB types 1-O and 2-O, it is added in the side conditions that accuracy requirements apply for a mismatch of UE target direction and gNB RX beam direction within RoAoA</w:t>
      </w:r>
      <w:r w:rsidR="00A300DD" w:rsidRPr="007C2BCE">
        <w:rPr>
          <w:lang w:val="en-US"/>
        </w:rPr>
        <w:t>.</w:t>
      </w:r>
    </w:p>
    <w:p w14:paraId="011C7DA2" w14:textId="79BC63BA" w:rsidR="00A61CE8" w:rsidRPr="00A61CE8" w:rsidRDefault="00476D71" w:rsidP="00A61CE8">
      <w:pPr>
        <w:pStyle w:val="RAN4Proposal0"/>
        <w:ind w:left="1134" w:hanging="1134"/>
        <w:contextualSpacing w:val="0"/>
      </w:pPr>
      <w:r>
        <w:t>Defer the</w:t>
      </w:r>
      <w:r w:rsidRPr="00476D71">
        <w:t xml:space="preserve"> </w:t>
      </w:r>
      <w:r>
        <w:t>definition of RF and implementation margin for SRS-RSRP until the structure of baseline accuracy requirements is agreed</w:t>
      </w:r>
      <w:r w:rsidR="00A61CE8" w:rsidRPr="00A61CE8">
        <w:t>.</w:t>
      </w:r>
    </w:p>
    <w:p w14:paraId="1B32F0A8" w14:textId="44B7E8E6" w:rsidR="00846A22" w:rsidRDefault="00476D71" w:rsidP="001039B7">
      <w:pPr>
        <w:pStyle w:val="RAN4Proposal0"/>
        <w:ind w:left="1134" w:hanging="1134"/>
        <w:contextualSpacing w:val="0"/>
        <w:rPr>
          <w:color w:val="000000" w:themeColor="text1"/>
          <w:lang w:eastAsia="zh-CN"/>
        </w:rPr>
      </w:pPr>
      <w:r w:rsidRPr="00476D71">
        <w:rPr>
          <w:color w:val="000000" w:themeColor="text1"/>
          <w:lang w:eastAsia="zh-CN"/>
        </w:rPr>
        <w:t>Adopt SRS BW grouping candidate option 1 for SRS-RSRP accuracy requirements in TS 38.133</w:t>
      </w:r>
      <w:r w:rsidR="00402150">
        <w:rPr>
          <w:color w:val="000000" w:themeColor="text1"/>
          <w:lang w:eastAsia="zh-CN"/>
        </w:rPr>
        <w:t xml:space="preserve"> </w:t>
      </w:r>
      <w:r w:rsidR="00402150">
        <w:rPr>
          <w:lang w:eastAsia="x-none"/>
        </w:rPr>
        <w:t xml:space="preserve">at least for low </w:t>
      </w:r>
      <w:r w:rsidR="00402150" w:rsidRPr="00402150">
        <w:rPr>
          <w:rFonts w:eastAsia="Yu Mincho"/>
          <w:color w:val="000000" w:themeColor="text1"/>
          <w:kern w:val="24"/>
        </w:rPr>
        <w:t>Ês/Iot</w:t>
      </w:r>
      <w:r w:rsidR="00402150">
        <w:rPr>
          <w:rFonts w:eastAsia="Yu Mincho"/>
          <w:bCs/>
          <w:color w:val="000000" w:themeColor="text1"/>
          <w:kern w:val="24"/>
        </w:rPr>
        <w:t xml:space="preserve"> ratio and consider reduction of SRS BW groups for high </w:t>
      </w:r>
      <w:r w:rsidR="00402150" w:rsidRPr="00402150">
        <w:rPr>
          <w:rFonts w:eastAsia="Yu Mincho"/>
          <w:color w:val="000000" w:themeColor="text1"/>
          <w:kern w:val="24"/>
        </w:rPr>
        <w:t>Ês/Iot</w:t>
      </w:r>
      <w:r w:rsidR="00402150">
        <w:rPr>
          <w:rFonts w:eastAsia="Yu Mincho"/>
          <w:bCs/>
          <w:color w:val="000000" w:themeColor="text1"/>
          <w:kern w:val="24"/>
        </w:rPr>
        <w:t xml:space="preserve"> ratio</w:t>
      </w:r>
      <w:r w:rsidRPr="00476D71">
        <w:rPr>
          <w:color w:val="000000" w:themeColor="text1"/>
          <w:lang w:eastAsia="zh-CN"/>
        </w:rPr>
        <w:t>.</w:t>
      </w:r>
    </w:p>
    <w:p w14:paraId="531993B5" w14:textId="543B867A" w:rsidR="005D43E0" w:rsidRDefault="005D43E0" w:rsidP="005D43E0">
      <w:pPr>
        <w:pStyle w:val="RAN4Proposal0"/>
        <w:ind w:left="1134" w:hanging="1134"/>
      </w:pPr>
      <w:r>
        <w:t>Take into account performance difference for SRS symbol and comb size combinations with different number of RE’s per subframe.</w:t>
      </w:r>
    </w:p>
    <w:p w14:paraId="5E6E9366" w14:textId="77777777" w:rsidR="005D43E0" w:rsidRPr="005D43E0" w:rsidRDefault="005D43E0" w:rsidP="005D43E0">
      <w:pPr>
        <w:rPr>
          <w:lang w:val="en-GB" w:eastAsia="zh-CN"/>
        </w:rPr>
      </w:pPr>
    </w:p>
    <w:p w14:paraId="6B0983B5" w14:textId="77777777" w:rsidR="003B659E" w:rsidRPr="006C18B1" w:rsidRDefault="003B659E" w:rsidP="0008612A">
      <w:pPr>
        <w:pStyle w:val="RAN4H1"/>
      </w:pPr>
      <w:r w:rsidRPr="006C18B1">
        <w:t>References</w:t>
      </w:r>
    </w:p>
    <w:p w14:paraId="53E8F040" w14:textId="5AAA3761" w:rsidR="00821917" w:rsidRPr="00821917" w:rsidRDefault="00821917" w:rsidP="00821917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r w:rsidRPr="00821917">
        <w:rPr>
          <w:rFonts w:eastAsia="Times New Roman" w:cs="Times New Roman"/>
          <w:color w:val="000000" w:themeColor="text1"/>
          <w:szCs w:val="20"/>
        </w:rPr>
        <w:t>R4-2105755, "WF on gNB positioning measurement requirements", source: Ericsson</w:t>
      </w:r>
    </w:p>
    <w:p w14:paraId="40F29171" w14:textId="023F5663" w:rsidR="002F55E0" w:rsidRDefault="002F55E0" w:rsidP="002F55E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color w:val="000000" w:themeColor="text1"/>
          <w:szCs w:val="20"/>
        </w:rPr>
      </w:pPr>
      <w:r w:rsidRPr="00A31FAC">
        <w:rPr>
          <w:rFonts w:eastAsia="Times New Roman" w:cs="Times New Roman"/>
          <w:color w:val="000000" w:themeColor="text1"/>
          <w:szCs w:val="20"/>
        </w:rPr>
        <w:t>R4-2105757, "Updated link simulation assumptions for gNB positioning measurement", source: Huawei, HiSilicon</w:t>
      </w:r>
    </w:p>
    <w:p w14:paraId="52E1CE68" w14:textId="75CE6914" w:rsidR="00402150" w:rsidRPr="00402150" w:rsidRDefault="00402150" w:rsidP="00402150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r w:rsidRPr="00ED3CBA">
        <w:rPr>
          <w:rFonts w:eastAsia="Times New Roman" w:cs="Times New Roman"/>
          <w:color w:val="000000" w:themeColor="text1"/>
          <w:szCs w:val="20"/>
        </w:rPr>
        <w:t>R4-21</w:t>
      </w:r>
      <w:r>
        <w:rPr>
          <w:rFonts w:eastAsia="Times New Roman" w:cs="Times New Roman"/>
          <w:color w:val="000000" w:themeColor="text1"/>
          <w:szCs w:val="20"/>
        </w:rPr>
        <w:t>10272</w:t>
      </w:r>
      <w:r w:rsidRPr="00ED3CBA">
        <w:rPr>
          <w:rFonts w:eastAsia="Times New Roman" w:cs="Times New Roman"/>
          <w:color w:val="000000" w:themeColor="text1"/>
          <w:szCs w:val="20"/>
        </w:rPr>
        <w:t>, "</w:t>
      </w:r>
      <w:r w:rsidRPr="00ED3CBA">
        <w:t>L</w:t>
      </w:r>
      <w:r w:rsidRPr="00ED3CBA">
        <w:rPr>
          <w:rFonts w:eastAsia="Times New Roman" w:cs="Times New Roman"/>
          <w:color w:val="000000" w:themeColor="text1"/>
          <w:szCs w:val="20"/>
        </w:rPr>
        <w:t>ink simulation</w:t>
      </w:r>
      <w:r w:rsidRPr="008F6FD0">
        <w:rPr>
          <w:rFonts w:eastAsia="Times New Roman" w:cs="Times New Roman"/>
          <w:color w:val="000000" w:themeColor="text1"/>
          <w:szCs w:val="20"/>
        </w:rPr>
        <w:t xml:space="preserve"> results for </w:t>
      </w:r>
      <w:r>
        <w:rPr>
          <w:rFonts w:eastAsia="Times New Roman" w:cs="Times New Roman"/>
          <w:color w:val="000000" w:themeColor="text1"/>
          <w:szCs w:val="20"/>
        </w:rPr>
        <w:t>SRS-RSRP</w:t>
      </w:r>
      <w:r w:rsidRPr="008F6FD0">
        <w:rPr>
          <w:rFonts w:eastAsia="Times New Roman" w:cs="Times New Roman"/>
          <w:color w:val="000000" w:themeColor="text1"/>
          <w:szCs w:val="20"/>
        </w:rPr>
        <w:t xml:space="preserve"> accuracy</w:t>
      </w:r>
      <w:r w:rsidRPr="00DE6029">
        <w:rPr>
          <w:rFonts w:eastAsia="Times New Roman" w:cs="Times New Roman"/>
          <w:color w:val="000000" w:themeColor="text1"/>
          <w:szCs w:val="20"/>
          <w:lang w:val="en-GB"/>
        </w:rPr>
        <w:t>"</w:t>
      </w:r>
      <w:r>
        <w:rPr>
          <w:rFonts w:eastAsia="Times New Roman" w:cs="Times New Roman"/>
          <w:color w:val="000000" w:themeColor="text1"/>
          <w:szCs w:val="20"/>
          <w:lang w:val="en-GB"/>
        </w:rPr>
        <w:t>,</w:t>
      </w:r>
      <w:r>
        <w:rPr>
          <w:rFonts w:eastAsia="Times New Roman" w:cs="Times New Roman"/>
          <w:szCs w:val="20"/>
        </w:rPr>
        <w:t xml:space="preserve"> source: Nokia, Nokia Shanghai Bell</w:t>
      </w:r>
    </w:p>
    <w:sectPr w:rsidR="00402150" w:rsidRPr="00402150" w:rsidSect="00806A76">
      <w:footerReference w:type="default" r:id="rId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CA3FA" w14:textId="77777777" w:rsidR="00C33B81" w:rsidRDefault="00C33B81" w:rsidP="00001C9B">
      <w:pPr>
        <w:spacing w:after="0" w:line="240" w:lineRule="auto"/>
      </w:pPr>
      <w:r>
        <w:separator/>
      </w:r>
    </w:p>
  </w:endnote>
  <w:endnote w:type="continuationSeparator" w:id="0">
    <w:p w14:paraId="19A07062" w14:textId="77777777" w:rsidR="00C33B81" w:rsidRDefault="00C33B8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627BC2" w:rsidRDefault="00627B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627BC2" w:rsidRDefault="00627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EB0E8" w14:textId="77777777" w:rsidR="00C33B81" w:rsidRDefault="00C33B81" w:rsidP="00001C9B">
      <w:pPr>
        <w:spacing w:after="0" w:line="240" w:lineRule="auto"/>
      </w:pPr>
      <w:r>
        <w:separator/>
      </w:r>
    </w:p>
  </w:footnote>
  <w:footnote w:type="continuationSeparator" w:id="0">
    <w:p w14:paraId="2A4FEC09" w14:textId="77777777" w:rsidR="00C33B81" w:rsidRDefault="00C33B8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AFC1F50"/>
    <w:lvl w:ilvl="0">
      <w:numFmt w:val="bullet"/>
      <w:lvlText w:val="*"/>
      <w:lvlJc w:val="left"/>
    </w:lvl>
  </w:abstractNum>
  <w:abstractNum w:abstractNumId="1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-10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338" w:hanging="360"/>
      </w:pPr>
    </w:lvl>
    <w:lvl w:ilvl="2" w:tplc="0409001B" w:tentative="1">
      <w:start w:val="1"/>
      <w:numFmt w:val="lowerRoman"/>
      <w:lvlText w:val="%3."/>
      <w:lvlJc w:val="right"/>
      <w:pPr>
        <w:ind w:left="382" w:hanging="180"/>
      </w:pPr>
    </w:lvl>
    <w:lvl w:ilvl="3" w:tplc="0409000F" w:tentative="1">
      <w:start w:val="1"/>
      <w:numFmt w:val="decimal"/>
      <w:lvlText w:val="%4."/>
      <w:lvlJc w:val="left"/>
      <w:pPr>
        <w:ind w:left="1102" w:hanging="360"/>
      </w:pPr>
    </w:lvl>
    <w:lvl w:ilvl="4" w:tplc="04090019" w:tentative="1">
      <w:start w:val="1"/>
      <w:numFmt w:val="lowerLetter"/>
      <w:lvlText w:val="%5."/>
      <w:lvlJc w:val="left"/>
      <w:pPr>
        <w:ind w:left="1822" w:hanging="360"/>
      </w:pPr>
    </w:lvl>
    <w:lvl w:ilvl="5" w:tplc="0409001B" w:tentative="1">
      <w:start w:val="1"/>
      <w:numFmt w:val="lowerRoman"/>
      <w:lvlText w:val="%6."/>
      <w:lvlJc w:val="right"/>
      <w:pPr>
        <w:ind w:left="2542" w:hanging="180"/>
      </w:pPr>
    </w:lvl>
    <w:lvl w:ilvl="6" w:tplc="0409000F" w:tentative="1">
      <w:start w:val="1"/>
      <w:numFmt w:val="decimal"/>
      <w:lvlText w:val="%7."/>
      <w:lvlJc w:val="left"/>
      <w:pPr>
        <w:ind w:left="3262" w:hanging="360"/>
      </w:pPr>
    </w:lvl>
    <w:lvl w:ilvl="7" w:tplc="04090019" w:tentative="1">
      <w:start w:val="1"/>
      <w:numFmt w:val="lowerLetter"/>
      <w:lvlText w:val="%8."/>
      <w:lvlJc w:val="left"/>
      <w:pPr>
        <w:ind w:left="3982" w:hanging="360"/>
      </w:pPr>
    </w:lvl>
    <w:lvl w:ilvl="8" w:tplc="040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3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935C3"/>
    <w:multiLevelType w:val="hybridMultilevel"/>
    <w:tmpl w:val="70D07834"/>
    <w:lvl w:ilvl="0" w:tplc="D6E0F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364E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284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86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424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82E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E87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0A7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60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781243"/>
    <w:multiLevelType w:val="hybridMultilevel"/>
    <w:tmpl w:val="90C0BC1A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15A08"/>
    <w:multiLevelType w:val="hybridMultilevel"/>
    <w:tmpl w:val="5096F0CE"/>
    <w:lvl w:ilvl="0" w:tplc="D6BEA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FA61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CA6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4E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4C4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446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CCC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B8DC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21E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5224D4"/>
    <w:multiLevelType w:val="hybridMultilevel"/>
    <w:tmpl w:val="440E291C"/>
    <w:lvl w:ilvl="0" w:tplc="96105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E74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A0E1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E24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384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466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2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945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440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EA5A4B"/>
    <w:multiLevelType w:val="hybridMultilevel"/>
    <w:tmpl w:val="59E4E7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E32D4"/>
    <w:multiLevelType w:val="hybridMultilevel"/>
    <w:tmpl w:val="602845E4"/>
    <w:lvl w:ilvl="0" w:tplc="A91C1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0ED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92DF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664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6E3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8C1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887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C1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EA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9C03F7"/>
    <w:multiLevelType w:val="hybridMultilevel"/>
    <w:tmpl w:val="F780765C"/>
    <w:lvl w:ilvl="0" w:tplc="A1DCE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A08D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A2337A">
      <w:start w:val="10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07CA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66F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AEB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9E1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D60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8C7ED4"/>
    <w:multiLevelType w:val="hybridMultilevel"/>
    <w:tmpl w:val="DEEEE6CE"/>
    <w:lvl w:ilvl="0" w:tplc="15B64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EC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C4B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A2D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302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2E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EC6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67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D64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172913"/>
    <w:multiLevelType w:val="hybridMultilevel"/>
    <w:tmpl w:val="6C52029C"/>
    <w:lvl w:ilvl="0" w:tplc="C4E87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A08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41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A8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2E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451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CD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E8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CE0413"/>
    <w:multiLevelType w:val="hybridMultilevel"/>
    <w:tmpl w:val="F94A4F72"/>
    <w:lvl w:ilvl="0" w:tplc="5B38C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A17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4D5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0F8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2C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26C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67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C1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03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5" w15:restartNumberingAfterBreak="0">
    <w:nsid w:val="4A4633E1"/>
    <w:multiLevelType w:val="hybridMultilevel"/>
    <w:tmpl w:val="BB2C0216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A6E25"/>
    <w:multiLevelType w:val="hybridMultilevel"/>
    <w:tmpl w:val="7D3E1F0E"/>
    <w:lvl w:ilvl="0" w:tplc="C34A7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1823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EA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8C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683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A2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07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42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048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D6E3167"/>
    <w:multiLevelType w:val="hybridMultilevel"/>
    <w:tmpl w:val="9FEEEAA8"/>
    <w:lvl w:ilvl="0" w:tplc="B4327BB0">
      <w:start w:val="1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18" w15:restartNumberingAfterBreak="0">
    <w:nsid w:val="4DA44281"/>
    <w:multiLevelType w:val="hybridMultilevel"/>
    <w:tmpl w:val="DF4E71D0"/>
    <w:lvl w:ilvl="0" w:tplc="C4DE0AC8">
      <w:start w:val="1"/>
      <w:numFmt w:val="decimal"/>
      <w:pStyle w:val="RAN4Proposal0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F326829"/>
    <w:multiLevelType w:val="hybridMultilevel"/>
    <w:tmpl w:val="783068B8"/>
    <w:lvl w:ilvl="0" w:tplc="EDB6E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4FA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8C57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A841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349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40A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0D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880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E3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8E1D84"/>
    <w:multiLevelType w:val="hybridMultilevel"/>
    <w:tmpl w:val="15026FC6"/>
    <w:lvl w:ilvl="0" w:tplc="7E842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DA44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2DE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5EC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D43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65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CA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30A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3CB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72506D"/>
    <w:multiLevelType w:val="hybridMultilevel"/>
    <w:tmpl w:val="4162D82A"/>
    <w:lvl w:ilvl="0" w:tplc="60FAE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58F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746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83E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B6F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4A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B27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46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6E2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E8F613D"/>
    <w:multiLevelType w:val="hybridMultilevel"/>
    <w:tmpl w:val="398E6BFC"/>
    <w:lvl w:ilvl="0" w:tplc="FB3CE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4E2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A5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480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ED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6EF4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E3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949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A1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FCC6B59"/>
    <w:multiLevelType w:val="hybridMultilevel"/>
    <w:tmpl w:val="E3FE48F4"/>
    <w:lvl w:ilvl="0" w:tplc="34760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403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49F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1EB8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25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6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FE8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D22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A02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10A1925"/>
    <w:multiLevelType w:val="hybridMultilevel"/>
    <w:tmpl w:val="D004D30A"/>
    <w:lvl w:ilvl="0" w:tplc="E88613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7A7B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BA7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EF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BA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60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2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980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90238F"/>
    <w:multiLevelType w:val="hybridMultilevel"/>
    <w:tmpl w:val="D340CE00"/>
    <w:lvl w:ilvl="0" w:tplc="D6E0F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FD284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86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424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82E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E87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0A7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60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6C615A7"/>
    <w:multiLevelType w:val="hybridMultilevel"/>
    <w:tmpl w:val="04AA5418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6D0848"/>
    <w:multiLevelType w:val="hybridMultilevel"/>
    <w:tmpl w:val="AC245BD0"/>
    <w:lvl w:ilvl="0" w:tplc="ACEC5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8245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C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920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B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47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F20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268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4B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02A51E1"/>
    <w:multiLevelType w:val="hybridMultilevel"/>
    <w:tmpl w:val="E65050E2"/>
    <w:lvl w:ilvl="0" w:tplc="74181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04C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9EAE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694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89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FE6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9E1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76E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83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4F642D2"/>
    <w:multiLevelType w:val="hybridMultilevel"/>
    <w:tmpl w:val="51EEA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25F51"/>
    <w:multiLevelType w:val="hybridMultilevel"/>
    <w:tmpl w:val="E4AC33B2"/>
    <w:lvl w:ilvl="0" w:tplc="9A647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8C32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45C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C6136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A0D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A1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9411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E9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E00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89D6BB9"/>
    <w:multiLevelType w:val="hybridMultilevel"/>
    <w:tmpl w:val="E3304508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7"/>
  </w:num>
  <w:num w:numId="4">
    <w:abstractNumId w:val="26"/>
  </w:num>
  <w:num w:numId="5">
    <w:abstractNumId w:val="18"/>
  </w:num>
  <w:num w:numId="6">
    <w:abstractNumId w:val="29"/>
  </w:num>
  <w:num w:numId="7">
    <w:abstractNumId w:val="15"/>
  </w:num>
  <w:num w:numId="8">
    <w:abstractNumId w:val="31"/>
  </w:num>
  <w:num w:numId="9">
    <w:abstractNumId w:val="10"/>
  </w:num>
  <w:num w:numId="10">
    <w:abstractNumId w:val="33"/>
  </w:num>
  <w:num w:numId="11">
    <w:abstractNumId w:val="8"/>
  </w:num>
  <w:num w:numId="12">
    <w:abstractNumId w:val="3"/>
  </w:num>
  <w:num w:numId="13">
    <w:abstractNumId w:val="17"/>
    <w:lvlOverride w:ilvl="0">
      <w:startOverride w:val="3"/>
    </w:lvlOverride>
  </w:num>
  <w:num w:numId="14">
    <w:abstractNumId w:val="18"/>
    <w:lvlOverride w:ilvl="0">
      <w:startOverride w:val="4"/>
    </w:lvlOverride>
  </w:num>
  <w:num w:numId="15">
    <w:abstractNumId w:val="1"/>
  </w:num>
  <w:num w:numId="16">
    <w:abstractNumId w:val="12"/>
  </w:num>
  <w:num w:numId="17">
    <w:abstractNumId w:val="19"/>
  </w:num>
  <w:num w:numId="18">
    <w:abstractNumId w:val="5"/>
  </w:num>
  <w:num w:numId="19">
    <w:abstractNumId w:val="27"/>
  </w:num>
  <w:num w:numId="20">
    <w:abstractNumId w:val="16"/>
  </w:num>
  <w:num w:numId="21">
    <w:abstractNumId w:val="21"/>
  </w:num>
  <w:num w:numId="22">
    <w:abstractNumId w:val="28"/>
  </w:num>
  <w:num w:numId="23">
    <w:abstractNumId w:val="9"/>
  </w:num>
  <w:num w:numId="24">
    <w:abstractNumId w:val="13"/>
  </w:num>
  <w:num w:numId="25">
    <w:abstractNumId w:val="17"/>
    <w:lvlOverride w:ilvl="0">
      <w:startOverride w:val="2"/>
    </w:lvlOverride>
  </w:num>
  <w:num w:numId="26">
    <w:abstractNumId w:val="7"/>
  </w:num>
  <w:num w:numId="27">
    <w:abstractNumId w:val="4"/>
  </w:num>
  <w:num w:numId="28">
    <w:abstractNumId w:val="25"/>
  </w:num>
  <w:num w:numId="29">
    <w:abstractNumId w:val="22"/>
  </w:num>
  <w:num w:numId="30">
    <w:abstractNumId w:val="24"/>
  </w:num>
  <w:num w:numId="31">
    <w:abstractNumId w:val="6"/>
  </w:num>
  <w:num w:numId="32">
    <w:abstractNumId w:val="30"/>
  </w:num>
  <w:num w:numId="3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56"/>
        </w:rPr>
      </w:lvl>
    </w:lvlOverride>
  </w:num>
  <w:num w:numId="34">
    <w:abstractNumId w:val="20"/>
  </w:num>
  <w:num w:numId="35">
    <w:abstractNumId w:val="11"/>
  </w:num>
  <w:num w:numId="36">
    <w:abstractNumId w:val="23"/>
  </w:num>
  <w:num w:numId="37">
    <w:abstractNumId w:val="32"/>
  </w:num>
  <w:num w:numId="38">
    <w:abstractNumId w:val="17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482"/>
    <w:rsid w:val="00001C9B"/>
    <w:rsid w:val="00010940"/>
    <w:rsid w:val="00021D62"/>
    <w:rsid w:val="00023724"/>
    <w:rsid w:val="00035305"/>
    <w:rsid w:val="00043247"/>
    <w:rsid w:val="0005250D"/>
    <w:rsid w:val="00062CF3"/>
    <w:rsid w:val="00070F28"/>
    <w:rsid w:val="00070F78"/>
    <w:rsid w:val="0007430A"/>
    <w:rsid w:val="0008612A"/>
    <w:rsid w:val="00086B3A"/>
    <w:rsid w:val="000948AD"/>
    <w:rsid w:val="00095812"/>
    <w:rsid w:val="000A3529"/>
    <w:rsid w:val="000A3842"/>
    <w:rsid w:val="000B0056"/>
    <w:rsid w:val="000B3D00"/>
    <w:rsid w:val="000B5ADA"/>
    <w:rsid w:val="000B6A8E"/>
    <w:rsid w:val="000C1D14"/>
    <w:rsid w:val="000C363E"/>
    <w:rsid w:val="000C403D"/>
    <w:rsid w:val="000C514C"/>
    <w:rsid w:val="000C5CFF"/>
    <w:rsid w:val="000C6598"/>
    <w:rsid w:val="000E7730"/>
    <w:rsid w:val="000F2046"/>
    <w:rsid w:val="000F2EE5"/>
    <w:rsid w:val="000F2F13"/>
    <w:rsid w:val="000F334F"/>
    <w:rsid w:val="000F5687"/>
    <w:rsid w:val="000F764D"/>
    <w:rsid w:val="001039B7"/>
    <w:rsid w:val="00103B13"/>
    <w:rsid w:val="001063EF"/>
    <w:rsid w:val="001127F5"/>
    <w:rsid w:val="00115314"/>
    <w:rsid w:val="00121297"/>
    <w:rsid w:val="001219DB"/>
    <w:rsid w:val="00121A72"/>
    <w:rsid w:val="00123B85"/>
    <w:rsid w:val="00125254"/>
    <w:rsid w:val="00125A5F"/>
    <w:rsid w:val="001319D7"/>
    <w:rsid w:val="00136333"/>
    <w:rsid w:val="00143C2B"/>
    <w:rsid w:val="0015190E"/>
    <w:rsid w:val="00152771"/>
    <w:rsid w:val="00155478"/>
    <w:rsid w:val="00161971"/>
    <w:rsid w:val="001628F5"/>
    <w:rsid w:val="0016532C"/>
    <w:rsid w:val="001657A6"/>
    <w:rsid w:val="001709C2"/>
    <w:rsid w:val="00172426"/>
    <w:rsid w:val="001745F8"/>
    <w:rsid w:val="00176671"/>
    <w:rsid w:val="001766E4"/>
    <w:rsid w:val="001838CF"/>
    <w:rsid w:val="00185FAB"/>
    <w:rsid w:val="00190E1E"/>
    <w:rsid w:val="001A0AD5"/>
    <w:rsid w:val="001A2DF6"/>
    <w:rsid w:val="001B09BD"/>
    <w:rsid w:val="001B1094"/>
    <w:rsid w:val="001B2CE9"/>
    <w:rsid w:val="001C0453"/>
    <w:rsid w:val="001C2F6D"/>
    <w:rsid w:val="001C31AC"/>
    <w:rsid w:val="001C3BE3"/>
    <w:rsid w:val="001C734D"/>
    <w:rsid w:val="001D19B7"/>
    <w:rsid w:val="001D28CF"/>
    <w:rsid w:val="001D3E5E"/>
    <w:rsid w:val="001D51FB"/>
    <w:rsid w:val="001D6898"/>
    <w:rsid w:val="001E1F8C"/>
    <w:rsid w:val="001E30F6"/>
    <w:rsid w:val="001E4950"/>
    <w:rsid w:val="001F01AC"/>
    <w:rsid w:val="001F53D6"/>
    <w:rsid w:val="0020200D"/>
    <w:rsid w:val="00203FB3"/>
    <w:rsid w:val="00205756"/>
    <w:rsid w:val="00210AEA"/>
    <w:rsid w:val="00211053"/>
    <w:rsid w:val="002158AE"/>
    <w:rsid w:val="00216088"/>
    <w:rsid w:val="00216FB9"/>
    <w:rsid w:val="002250C2"/>
    <w:rsid w:val="0022569F"/>
    <w:rsid w:val="002268A4"/>
    <w:rsid w:val="00227E56"/>
    <w:rsid w:val="002303E0"/>
    <w:rsid w:val="002342FC"/>
    <w:rsid w:val="00235E7C"/>
    <w:rsid w:val="00235F5C"/>
    <w:rsid w:val="00237A68"/>
    <w:rsid w:val="00253094"/>
    <w:rsid w:val="00253A3D"/>
    <w:rsid w:val="00256442"/>
    <w:rsid w:val="002573B5"/>
    <w:rsid w:val="00270159"/>
    <w:rsid w:val="0027038C"/>
    <w:rsid w:val="0029241F"/>
    <w:rsid w:val="002B1FB5"/>
    <w:rsid w:val="002B43E6"/>
    <w:rsid w:val="002B4922"/>
    <w:rsid w:val="002C0F9E"/>
    <w:rsid w:val="002C2D19"/>
    <w:rsid w:val="002D10FA"/>
    <w:rsid w:val="002D132D"/>
    <w:rsid w:val="002D45DA"/>
    <w:rsid w:val="002D4C55"/>
    <w:rsid w:val="002D5122"/>
    <w:rsid w:val="002D532C"/>
    <w:rsid w:val="002F4ABF"/>
    <w:rsid w:val="002F55E0"/>
    <w:rsid w:val="00304937"/>
    <w:rsid w:val="0031215B"/>
    <w:rsid w:val="00317883"/>
    <w:rsid w:val="00320732"/>
    <w:rsid w:val="00325A7E"/>
    <w:rsid w:val="003325D7"/>
    <w:rsid w:val="00332778"/>
    <w:rsid w:val="0033542F"/>
    <w:rsid w:val="00336FC0"/>
    <w:rsid w:val="00341220"/>
    <w:rsid w:val="00347034"/>
    <w:rsid w:val="00351CAD"/>
    <w:rsid w:val="00351CB5"/>
    <w:rsid w:val="00352D49"/>
    <w:rsid w:val="003532CF"/>
    <w:rsid w:val="003562D8"/>
    <w:rsid w:val="00372CF1"/>
    <w:rsid w:val="00382E71"/>
    <w:rsid w:val="00383FF8"/>
    <w:rsid w:val="003854C3"/>
    <w:rsid w:val="00386D2A"/>
    <w:rsid w:val="00387078"/>
    <w:rsid w:val="003911F1"/>
    <w:rsid w:val="003A0C94"/>
    <w:rsid w:val="003A5079"/>
    <w:rsid w:val="003B5406"/>
    <w:rsid w:val="003B659E"/>
    <w:rsid w:val="003C134B"/>
    <w:rsid w:val="003C5A4D"/>
    <w:rsid w:val="003D2DCF"/>
    <w:rsid w:val="003D3C6E"/>
    <w:rsid w:val="003D41FA"/>
    <w:rsid w:val="003D5100"/>
    <w:rsid w:val="003D7B14"/>
    <w:rsid w:val="003E00B9"/>
    <w:rsid w:val="003E05AA"/>
    <w:rsid w:val="003E4177"/>
    <w:rsid w:val="003F3966"/>
    <w:rsid w:val="003F5D0F"/>
    <w:rsid w:val="003F600C"/>
    <w:rsid w:val="003F7474"/>
    <w:rsid w:val="00402150"/>
    <w:rsid w:val="00405D65"/>
    <w:rsid w:val="00411B32"/>
    <w:rsid w:val="00412329"/>
    <w:rsid w:val="004148EB"/>
    <w:rsid w:val="00417AA0"/>
    <w:rsid w:val="00430F84"/>
    <w:rsid w:val="004328F6"/>
    <w:rsid w:val="0043750A"/>
    <w:rsid w:val="0043751D"/>
    <w:rsid w:val="00440F17"/>
    <w:rsid w:val="00442EB8"/>
    <w:rsid w:val="004714BE"/>
    <w:rsid w:val="00472EE2"/>
    <w:rsid w:val="00474863"/>
    <w:rsid w:val="00476D71"/>
    <w:rsid w:val="00480117"/>
    <w:rsid w:val="00480972"/>
    <w:rsid w:val="00480EBB"/>
    <w:rsid w:val="004860AF"/>
    <w:rsid w:val="004906CC"/>
    <w:rsid w:val="00493295"/>
    <w:rsid w:val="004A0251"/>
    <w:rsid w:val="004A167B"/>
    <w:rsid w:val="004A400C"/>
    <w:rsid w:val="004A4274"/>
    <w:rsid w:val="004A7499"/>
    <w:rsid w:val="004B4FCA"/>
    <w:rsid w:val="004B7B4A"/>
    <w:rsid w:val="004C04E2"/>
    <w:rsid w:val="004C334B"/>
    <w:rsid w:val="004C5239"/>
    <w:rsid w:val="004C5B83"/>
    <w:rsid w:val="004D1341"/>
    <w:rsid w:val="004D727E"/>
    <w:rsid w:val="004E006D"/>
    <w:rsid w:val="004E2AA7"/>
    <w:rsid w:val="004E5E66"/>
    <w:rsid w:val="004F185B"/>
    <w:rsid w:val="004F3CDD"/>
    <w:rsid w:val="004F4F42"/>
    <w:rsid w:val="00503B4D"/>
    <w:rsid w:val="00504782"/>
    <w:rsid w:val="00504EE9"/>
    <w:rsid w:val="00504EEA"/>
    <w:rsid w:val="00520962"/>
    <w:rsid w:val="00523CE3"/>
    <w:rsid w:val="00530828"/>
    <w:rsid w:val="00537DA8"/>
    <w:rsid w:val="0054442C"/>
    <w:rsid w:val="00550285"/>
    <w:rsid w:val="00562024"/>
    <w:rsid w:val="00573A63"/>
    <w:rsid w:val="00574E8D"/>
    <w:rsid w:val="00576B52"/>
    <w:rsid w:val="0058090D"/>
    <w:rsid w:val="005836F8"/>
    <w:rsid w:val="00583AD5"/>
    <w:rsid w:val="005918FA"/>
    <w:rsid w:val="00597E87"/>
    <w:rsid w:val="005A0107"/>
    <w:rsid w:val="005A57F8"/>
    <w:rsid w:val="005A7ECE"/>
    <w:rsid w:val="005B3414"/>
    <w:rsid w:val="005B6B89"/>
    <w:rsid w:val="005B7081"/>
    <w:rsid w:val="005B7715"/>
    <w:rsid w:val="005C169B"/>
    <w:rsid w:val="005C1F7D"/>
    <w:rsid w:val="005D28EE"/>
    <w:rsid w:val="005D43E0"/>
    <w:rsid w:val="005D4B8B"/>
    <w:rsid w:val="005D4F5B"/>
    <w:rsid w:val="005D7AF2"/>
    <w:rsid w:val="005E61A8"/>
    <w:rsid w:val="005E680E"/>
    <w:rsid w:val="005F04BB"/>
    <w:rsid w:val="005F1508"/>
    <w:rsid w:val="005F451C"/>
    <w:rsid w:val="005F6419"/>
    <w:rsid w:val="005F7C3A"/>
    <w:rsid w:val="00600691"/>
    <w:rsid w:val="00612032"/>
    <w:rsid w:val="00616F56"/>
    <w:rsid w:val="00617400"/>
    <w:rsid w:val="00617878"/>
    <w:rsid w:val="00624F2D"/>
    <w:rsid w:val="00624FD4"/>
    <w:rsid w:val="006265DB"/>
    <w:rsid w:val="00627BC2"/>
    <w:rsid w:val="0063124E"/>
    <w:rsid w:val="00635B8D"/>
    <w:rsid w:val="00636E1A"/>
    <w:rsid w:val="00637E71"/>
    <w:rsid w:val="006526DA"/>
    <w:rsid w:val="006536C9"/>
    <w:rsid w:val="006566DD"/>
    <w:rsid w:val="00664950"/>
    <w:rsid w:val="00666744"/>
    <w:rsid w:val="00681DD5"/>
    <w:rsid w:val="0068316F"/>
    <w:rsid w:val="00683220"/>
    <w:rsid w:val="00685155"/>
    <w:rsid w:val="00687FA0"/>
    <w:rsid w:val="00690A4D"/>
    <w:rsid w:val="00694655"/>
    <w:rsid w:val="006965C2"/>
    <w:rsid w:val="006A0D50"/>
    <w:rsid w:val="006A36A3"/>
    <w:rsid w:val="006A5962"/>
    <w:rsid w:val="006B1D20"/>
    <w:rsid w:val="006B7010"/>
    <w:rsid w:val="006C13D5"/>
    <w:rsid w:val="006C18B1"/>
    <w:rsid w:val="006C21F3"/>
    <w:rsid w:val="006D23EB"/>
    <w:rsid w:val="006D273D"/>
    <w:rsid w:val="006E598D"/>
    <w:rsid w:val="006E6C32"/>
    <w:rsid w:val="006F28AC"/>
    <w:rsid w:val="006F4CCC"/>
    <w:rsid w:val="00702EDD"/>
    <w:rsid w:val="007136A9"/>
    <w:rsid w:val="007145FF"/>
    <w:rsid w:val="00726C65"/>
    <w:rsid w:val="00734AB4"/>
    <w:rsid w:val="00735A97"/>
    <w:rsid w:val="007501E0"/>
    <w:rsid w:val="0075022B"/>
    <w:rsid w:val="00751515"/>
    <w:rsid w:val="00752213"/>
    <w:rsid w:val="007657EE"/>
    <w:rsid w:val="007665E6"/>
    <w:rsid w:val="007675A7"/>
    <w:rsid w:val="007703B8"/>
    <w:rsid w:val="00775AAE"/>
    <w:rsid w:val="00781BC3"/>
    <w:rsid w:val="00783911"/>
    <w:rsid w:val="00783CEC"/>
    <w:rsid w:val="0078439C"/>
    <w:rsid w:val="00785232"/>
    <w:rsid w:val="0079222E"/>
    <w:rsid w:val="007A3695"/>
    <w:rsid w:val="007A71DB"/>
    <w:rsid w:val="007B544F"/>
    <w:rsid w:val="007B5538"/>
    <w:rsid w:val="007C2BCE"/>
    <w:rsid w:val="007C312C"/>
    <w:rsid w:val="007C3ED0"/>
    <w:rsid w:val="007C5F26"/>
    <w:rsid w:val="007D22B7"/>
    <w:rsid w:val="007E448E"/>
    <w:rsid w:val="007E4ACD"/>
    <w:rsid w:val="007F0A48"/>
    <w:rsid w:val="007F389B"/>
    <w:rsid w:val="007F5221"/>
    <w:rsid w:val="007F6B3D"/>
    <w:rsid w:val="00806A76"/>
    <w:rsid w:val="00811C9D"/>
    <w:rsid w:val="00816C80"/>
    <w:rsid w:val="0082121B"/>
    <w:rsid w:val="00821917"/>
    <w:rsid w:val="00835E17"/>
    <w:rsid w:val="00841BCD"/>
    <w:rsid w:val="008442FE"/>
    <w:rsid w:val="00846A22"/>
    <w:rsid w:val="008504A4"/>
    <w:rsid w:val="00850774"/>
    <w:rsid w:val="00852CE6"/>
    <w:rsid w:val="00855AD6"/>
    <w:rsid w:val="00856573"/>
    <w:rsid w:val="00856A97"/>
    <w:rsid w:val="00856B05"/>
    <w:rsid w:val="00860127"/>
    <w:rsid w:val="0086120F"/>
    <w:rsid w:val="00863350"/>
    <w:rsid w:val="008665E8"/>
    <w:rsid w:val="00867A8D"/>
    <w:rsid w:val="0087289E"/>
    <w:rsid w:val="008826C1"/>
    <w:rsid w:val="00884A85"/>
    <w:rsid w:val="00885FB3"/>
    <w:rsid w:val="00893814"/>
    <w:rsid w:val="008A3228"/>
    <w:rsid w:val="008A32A9"/>
    <w:rsid w:val="008A4A89"/>
    <w:rsid w:val="008B0322"/>
    <w:rsid w:val="008B73E6"/>
    <w:rsid w:val="008C4F6A"/>
    <w:rsid w:val="008C52B3"/>
    <w:rsid w:val="008E3A9D"/>
    <w:rsid w:val="008F59A1"/>
    <w:rsid w:val="008F6FD0"/>
    <w:rsid w:val="008F7385"/>
    <w:rsid w:val="008F7B07"/>
    <w:rsid w:val="00900557"/>
    <w:rsid w:val="009042BD"/>
    <w:rsid w:val="0090789C"/>
    <w:rsid w:val="009153F5"/>
    <w:rsid w:val="00915D64"/>
    <w:rsid w:val="009170F8"/>
    <w:rsid w:val="00922909"/>
    <w:rsid w:val="00923292"/>
    <w:rsid w:val="00926EAE"/>
    <w:rsid w:val="009315ED"/>
    <w:rsid w:val="00931E5A"/>
    <w:rsid w:val="00932535"/>
    <w:rsid w:val="009475B6"/>
    <w:rsid w:val="00955257"/>
    <w:rsid w:val="0095560C"/>
    <w:rsid w:val="00956D22"/>
    <w:rsid w:val="0096175E"/>
    <w:rsid w:val="00961DAC"/>
    <w:rsid w:val="00967205"/>
    <w:rsid w:val="00970480"/>
    <w:rsid w:val="00971AF1"/>
    <w:rsid w:val="00976ABD"/>
    <w:rsid w:val="00977869"/>
    <w:rsid w:val="00977E1D"/>
    <w:rsid w:val="0098494A"/>
    <w:rsid w:val="00986A0F"/>
    <w:rsid w:val="00992706"/>
    <w:rsid w:val="00994FA8"/>
    <w:rsid w:val="00995CDA"/>
    <w:rsid w:val="009B533B"/>
    <w:rsid w:val="009C056E"/>
    <w:rsid w:val="009C43DB"/>
    <w:rsid w:val="009C5E67"/>
    <w:rsid w:val="009C754D"/>
    <w:rsid w:val="009D15E4"/>
    <w:rsid w:val="009D6D4C"/>
    <w:rsid w:val="009F00DF"/>
    <w:rsid w:val="00A00927"/>
    <w:rsid w:val="00A04BF7"/>
    <w:rsid w:val="00A05393"/>
    <w:rsid w:val="00A14BDD"/>
    <w:rsid w:val="00A20BCA"/>
    <w:rsid w:val="00A22B78"/>
    <w:rsid w:val="00A25AE5"/>
    <w:rsid w:val="00A300DD"/>
    <w:rsid w:val="00A30CAA"/>
    <w:rsid w:val="00A31161"/>
    <w:rsid w:val="00A33D5C"/>
    <w:rsid w:val="00A35025"/>
    <w:rsid w:val="00A36FBF"/>
    <w:rsid w:val="00A37002"/>
    <w:rsid w:val="00A41842"/>
    <w:rsid w:val="00A4305C"/>
    <w:rsid w:val="00A438EA"/>
    <w:rsid w:val="00A4446B"/>
    <w:rsid w:val="00A521A7"/>
    <w:rsid w:val="00A52A0B"/>
    <w:rsid w:val="00A5311A"/>
    <w:rsid w:val="00A56A74"/>
    <w:rsid w:val="00A6009A"/>
    <w:rsid w:val="00A61CE8"/>
    <w:rsid w:val="00A830A0"/>
    <w:rsid w:val="00A85F40"/>
    <w:rsid w:val="00A91E9D"/>
    <w:rsid w:val="00AA01F2"/>
    <w:rsid w:val="00AA1B0E"/>
    <w:rsid w:val="00AB3F10"/>
    <w:rsid w:val="00AB4F81"/>
    <w:rsid w:val="00AB6DB5"/>
    <w:rsid w:val="00AB6E76"/>
    <w:rsid w:val="00AC0267"/>
    <w:rsid w:val="00AC5CA7"/>
    <w:rsid w:val="00AC5F11"/>
    <w:rsid w:val="00AD0A04"/>
    <w:rsid w:val="00AE1944"/>
    <w:rsid w:val="00AE2201"/>
    <w:rsid w:val="00AE56B1"/>
    <w:rsid w:val="00AE7BD0"/>
    <w:rsid w:val="00AF16F5"/>
    <w:rsid w:val="00AF1751"/>
    <w:rsid w:val="00AF300F"/>
    <w:rsid w:val="00AF69E2"/>
    <w:rsid w:val="00AF73B3"/>
    <w:rsid w:val="00AF7AF0"/>
    <w:rsid w:val="00AF7CC7"/>
    <w:rsid w:val="00AF7DB3"/>
    <w:rsid w:val="00B01279"/>
    <w:rsid w:val="00B03C53"/>
    <w:rsid w:val="00B055E3"/>
    <w:rsid w:val="00B13C0D"/>
    <w:rsid w:val="00B20B2E"/>
    <w:rsid w:val="00B25077"/>
    <w:rsid w:val="00B25D36"/>
    <w:rsid w:val="00B341AF"/>
    <w:rsid w:val="00B341D8"/>
    <w:rsid w:val="00B37B05"/>
    <w:rsid w:val="00B422DF"/>
    <w:rsid w:val="00B517F4"/>
    <w:rsid w:val="00B57C68"/>
    <w:rsid w:val="00B626CE"/>
    <w:rsid w:val="00B63EA3"/>
    <w:rsid w:val="00B73862"/>
    <w:rsid w:val="00B81135"/>
    <w:rsid w:val="00B8640D"/>
    <w:rsid w:val="00B94B19"/>
    <w:rsid w:val="00BA0229"/>
    <w:rsid w:val="00BA050D"/>
    <w:rsid w:val="00BA6342"/>
    <w:rsid w:val="00BA6E48"/>
    <w:rsid w:val="00BA724E"/>
    <w:rsid w:val="00BB015C"/>
    <w:rsid w:val="00BB2435"/>
    <w:rsid w:val="00BB3A1B"/>
    <w:rsid w:val="00BB3A42"/>
    <w:rsid w:val="00BB4905"/>
    <w:rsid w:val="00BC1A20"/>
    <w:rsid w:val="00BC2685"/>
    <w:rsid w:val="00BC298D"/>
    <w:rsid w:val="00BD54D5"/>
    <w:rsid w:val="00BE11C9"/>
    <w:rsid w:val="00BE3B93"/>
    <w:rsid w:val="00BE445A"/>
    <w:rsid w:val="00BE58C6"/>
    <w:rsid w:val="00BE5E5F"/>
    <w:rsid w:val="00BF0C88"/>
    <w:rsid w:val="00BF2218"/>
    <w:rsid w:val="00BF29F3"/>
    <w:rsid w:val="00BF4F2B"/>
    <w:rsid w:val="00C00D27"/>
    <w:rsid w:val="00C0381D"/>
    <w:rsid w:val="00C130C2"/>
    <w:rsid w:val="00C151D9"/>
    <w:rsid w:val="00C163A8"/>
    <w:rsid w:val="00C21232"/>
    <w:rsid w:val="00C226CE"/>
    <w:rsid w:val="00C27C64"/>
    <w:rsid w:val="00C27FB2"/>
    <w:rsid w:val="00C33B81"/>
    <w:rsid w:val="00C34356"/>
    <w:rsid w:val="00C3489E"/>
    <w:rsid w:val="00C35E07"/>
    <w:rsid w:val="00C411AB"/>
    <w:rsid w:val="00C43215"/>
    <w:rsid w:val="00C5154D"/>
    <w:rsid w:val="00C52037"/>
    <w:rsid w:val="00C5284A"/>
    <w:rsid w:val="00C55A64"/>
    <w:rsid w:val="00C561AF"/>
    <w:rsid w:val="00C562E9"/>
    <w:rsid w:val="00C61A58"/>
    <w:rsid w:val="00C640BB"/>
    <w:rsid w:val="00C75526"/>
    <w:rsid w:val="00C931A1"/>
    <w:rsid w:val="00C951B6"/>
    <w:rsid w:val="00C97529"/>
    <w:rsid w:val="00CA14DB"/>
    <w:rsid w:val="00CB0852"/>
    <w:rsid w:val="00CB1AF8"/>
    <w:rsid w:val="00CB5A99"/>
    <w:rsid w:val="00CC2524"/>
    <w:rsid w:val="00CC5C4D"/>
    <w:rsid w:val="00CC6A3D"/>
    <w:rsid w:val="00CD64A2"/>
    <w:rsid w:val="00CD7492"/>
    <w:rsid w:val="00CE3A6B"/>
    <w:rsid w:val="00CF1245"/>
    <w:rsid w:val="00D00211"/>
    <w:rsid w:val="00D06309"/>
    <w:rsid w:val="00D10A52"/>
    <w:rsid w:val="00D1585C"/>
    <w:rsid w:val="00D351EA"/>
    <w:rsid w:val="00D358A6"/>
    <w:rsid w:val="00D40FD8"/>
    <w:rsid w:val="00D43403"/>
    <w:rsid w:val="00D5231B"/>
    <w:rsid w:val="00D52C75"/>
    <w:rsid w:val="00D613A9"/>
    <w:rsid w:val="00D6240B"/>
    <w:rsid w:val="00D62DC3"/>
    <w:rsid w:val="00D62E71"/>
    <w:rsid w:val="00D6510C"/>
    <w:rsid w:val="00D7106E"/>
    <w:rsid w:val="00D740CA"/>
    <w:rsid w:val="00D81C0A"/>
    <w:rsid w:val="00D822A3"/>
    <w:rsid w:val="00D841B3"/>
    <w:rsid w:val="00D85728"/>
    <w:rsid w:val="00D9621C"/>
    <w:rsid w:val="00DA0CBC"/>
    <w:rsid w:val="00DA164D"/>
    <w:rsid w:val="00DA3144"/>
    <w:rsid w:val="00DA4373"/>
    <w:rsid w:val="00DB0780"/>
    <w:rsid w:val="00DB19FA"/>
    <w:rsid w:val="00DB32BB"/>
    <w:rsid w:val="00DB4870"/>
    <w:rsid w:val="00DB54AC"/>
    <w:rsid w:val="00DB6076"/>
    <w:rsid w:val="00DB788D"/>
    <w:rsid w:val="00DC1AEA"/>
    <w:rsid w:val="00DC2984"/>
    <w:rsid w:val="00DD49E9"/>
    <w:rsid w:val="00DD555A"/>
    <w:rsid w:val="00DD5B1F"/>
    <w:rsid w:val="00DE1DD5"/>
    <w:rsid w:val="00DE5EC1"/>
    <w:rsid w:val="00DE6029"/>
    <w:rsid w:val="00DF2997"/>
    <w:rsid w:val="00DF2F07"/>
    <w:rsid w:val="00DF4153"/>
    <w:rsid w:val="00E0339E"/>
    <w:rsid w:val="00E10756"/>
    <w:rsid w:val="00E13C85"/>
    <w:rsid w:val="00E2502D"/>
    <w:rsid w:val="00E42589"/>
    <w:rsid w:val="00E440AD"/>
    <w:rsid w:val="00E44A78"/>
    <w:rsid w:val="00E50208"/>
    <w:rsid w:val="00E50B9D"/>
    <w:rsid w:val="00E50C1F"/>
    <w:rsid w:val="00E51440"/>
    <w:rsid w:val="00E5499D"/>
    <w:rsid w:val="00E6552A"/>
    <w:rsid w:val="00E708C4"/>
    <w:rsid w:val="00E71676"/>
    <w:rsid w:val="00E71CDC"/>
    <w:rsid w:val="00E77804"/>
    <w:rsid w:val="00E8077D"/>
    <w:rsid w:val="00E80A42"/>
    <w:rsid w:val="00E81AFA"/>
    <w:rsid w:val="00E8399B"/>
    <w:rsid w:val="00E86AAF"/>
    <w:rsid w:val="00E917DE"/>
    <w:rsid w:val="00E93045"/>
    <w:rsid w:val="00E94B04"/>
    <w:rsid w:val="00EA129D"/>
    <w:rsid w:val="00EA19F8"/>
    <w:rsid w:val="00EA7C2C"/>
    <w:rsid w:val="00EB594A"/>
    <w:rsid w:val="00EC0425"/>
    <w:rsid w:val="00EC7BC3"/>
    <w:rsid w:val="00ED39EB"/>
    <w:rsid w:val="00ED3CBA"/>
    <w:rsid w:val="00ED43CB"/>
    <w:rsid w:val="00ED5826"/>
    <w:rsid w:val="00ED7600"/>
    <w:rsid w:val="00EE42F4"/>
    <w:rsid w:val="00EE63E5"/>
    <w:rsid w:val="00EE7605"/>
    <w:rsid w:val="00EF0E80"/>
    <w:rsid w:val="00EF0F5E"/>
    <w:rsid w:val="00EF13E4"/>
    <w:rsid w:val="00EF2A70"/>
    <w:rsid w:val="00EF389F"/>
    <w:rsid w:val="00EF44D4"/>
    <w:rsid w:val="00EF61E8"/>
    <w:rsid w:val="00EF7DD0"/>
    <w:rsid w:val="00F04673"/>
    <w:rsid w:val="00F04B6C"/>
    <w:rsid w:val="00F07022"/>
    <w:rsid w:val="00F1362C"/>
    <w:rsid w:val="00F1451C"/>
    <w:rsid w:val="00F204BA"/>
    <w:rsid w:val="00F231E7"/>
    <w:rsid w:val="00F261F2"/>
    <w:rsid w:val="00F26F37"/>
    <w:rsid w:val="00F30010"/>
    <w:rsid w:val="00F33BF3"/>
    <w:rsid w:val="00F40197"/>
    <w:rsid w:val="00F412E8"/>
    <w:rsid w:val="00F41FEF"/>
    <w:rsid w:val="00F4255C"/>
    <w:rsid w:val="00F42C00"/>
    <w:rsid w:val="00F461AC"/>
    <w:rsid w:val="00F500D5"/>
    <w:rsid w:val="00F66DDD"/>
    <w:rsid w:val="00F67526"/>
    <w:rsid w:val="00F73745"/>
    <w:rsid w:val="00F824F5"/>
    <w:rsid w:val="00F82992"/>
    <w:rsid w:val="00F83D13"/>
    <w:rsid w:val="00F90A1B"/>
    <w:rsid w:val="00F9169B"/>
    <w:rsid w:val="00F92531"/>
    <w:rsid w:val="00FA02D2"/>
    <w:rsid w:val="00FA35DD"/>
    <w:rsid w:val="00FA4FA6"/>
    <w:rsid w:val="00FC049B"/>
    <w:rsid w:val="00FC16B2"/>
    <w:rsid w:val="00FC29B9"/>
    <w:rsid w:val="00FC33A8"/>
    <w:rsid w:val="00FC6FD3"/>
    <w:rsid w:val="00FC7BFE"/>
    <w:rsid w:val="00FD25BD"/>
    <w:rsid w:val="00FD4155"/>
    <w:rsid w:val="00FD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FCC84A"/>
  <w15:chartTrackingRefBased/>
  <w15:docId w15:val="{A76EDA79-6A0E-4203-9959-79AAC91E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12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5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character" w:styleId="PlaceholderText">
    <w:name w:val="Placeholder Text"/>
    <w:basedOn w:val="DefaultParagraphFont"/>
    <w:uiPriority w:val="99"/>
    <w:semiHidden/>
    <w:rsid w:val="00C163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1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815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44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58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511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193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9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3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6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1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0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0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9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66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5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4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3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397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934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9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9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40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3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37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59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67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19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8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18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6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22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7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97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12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4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9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8711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65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4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8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0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01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0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71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1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3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8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9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5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9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6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700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062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8814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37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10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703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4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3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8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8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1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9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11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3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79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221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4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4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52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3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3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8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2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7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08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6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3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6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9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79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10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2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6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2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1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47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0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1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1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5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2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1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85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5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03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21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2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53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5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4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7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46990-9085-4D81-9F25-318821225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1190</Words>
  <Characters>6789</Characters>
  <Application>Microsoft Office Word</Application>
  <DocSecurity>4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General aspects for gNB measurement accuracy requirements</vt:lpstr>
      <vt:lpstr>Electronic Meeting, May 19-27, 2021</vt:lpstr>
      <vt:lpstr>Introduction</vt:lpstr>
      <vt:lpstr>Discussion</vt:lpstr>
      <vt:lpstr>    Beam configuration during gNB measurement</vt:lpstr>
      <vt:lpstr>    RF and Implementation Margin for SRS-RSRP </vt:lpstr>
      <vt:lpstr>    SRS BW grouping for SRS-RSRP</vt:lpstr>
      <vt:lpstr>Conclusion</vt:lpstr>
      <vt:lpstr>References</vt:lpstr>
    </vt:vector>
  </TitlesOfParts>
  <Company/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aspects for gNB measurement accuracy requirements</dc:title>
  <dc:subject/>
  <dc:creator>Nokia</dc:creator>
  <cp:keywords/>
  <dc:description/>
  <cp:lastModifiedBy>Juergen Hofmann</cp:lastModifiedBy>
  <cp:revision>2</cp:revision>
  <dcterms:created xsi:type="dcterms:W3CDTF">2021-05-11T18:36:00Z</dcterms:created>
  <dcterms:modified xsi:type="dcterms:W3CDTF">2021-05-11T18:36:00Z</dcterms:modified>
</cp:coreProperties>
</file>